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ascii="仿宋_GB2312" w:hAnsi="仿宋_GB2312" w:eastAsia="仿宋_GB2312" w:cs="仿宋_GB2312"/>
          <w:spacing w:val="3"/>
          <w:sz w:val="32"/>
          <w:szCs w:val="32"/>
        </w:rPr>
      </w:pPr>
    </w:p>
    <w:p>
      <w:pPr>
        <w:pStyle w:val="2"/>
      </w:pPr>
    </w:p>
    <w:p>
      <w:pPr>
        <w:tabs>
          <w:tab w:val="left" w:pos="11340"/>
        </w:tabs>
        <w:spacing w:line="64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惠州仲恺高新区国有建设用地使用权</w:t>
      </w:r>
    </w:p>
    <w:p>
      <w:pPr>
        <w:tabs>
          <w:tab w:val="left" w:pos="11340"/>
        </w:tabs>
        <w:spacing w:line="640" w:lineRule="exact"/>
        <w:jc w:val="center"/>
        <w:rPr>
          <w:rFonts w:ascii="方正小标宋简体" w:hAnsi="方正小标宋简体" w:eastAsia="方正小标宋简体" w:cs="方正小标宋简体"/>
          <w:kern w:val="0"/>
          <w:sz w:val="44"/>
          <w:szCs w:val="44"/>
        </w:rPr>
      </w:pPr>
      <w:r>
        <w:rPr>
          <w:rFonts w:hint="eastAsia" w:ascii="方正小标宋_GBK" w:hAnsi="方正小标宋_GBK" w:eastAsia="方正小标宋_GBK" w:cs="方正小标宋_GBK"/>
          <w:kern w:val="0"/>
          <w:sz w:val="44"/>
          <w:szCs w:val="44"/>
        </w:rPr>
        <w:t>网上挂牌出让公告</w:t>
      </w:r>
    </w:p>
    <w:p>
      <w:pPr>
        <w:tabs>
          <w:tab w:val="left" w:pos="11340"/>
        </w:tabs>
        <w:spacing w:line="520" w:lineRule="exact"/>
        <w:ind w:left="2880" w:hanging="2880" w:hangingChars="900"/>
        <w:jc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惠仲土挂告[2022]021</w:t>
      </w:r>
      <w:r>
        <w:rPr>
          <w:rFonts w:hint="eastAsia" w:ascii="仿宋_GB2312" w:hAnsi="仿宋_GB2312" w:eastAsia="仿宋_GB2312" w:cs="仿宋_GB2312"/>
          <w:sz w:val="32"/>
          <w:szCs w:val="32"/>
        </w:rPr>
        <w:t>号</w:t>
      </w: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二、挂牌起始价及增价幅度</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挂牌起始价为人民币41888</w:t>
      </w:r>
      <w:r>
        <w:rPr>
          <w:rFonts w:hint="eastAsia" w:ascii="仿宋_GB2312" w:hAnsi="仿宋_GB2312" w:eastAsia="仿宋_GB2312" w:cs="仿宋_GB2312"/>
          <w:sz w:val="32"/>
          <w:szCs w:val="32"/>
        </w:rPr>
        <w:t>万元,每次报价增价幅度为人民币500</w:t>
      </w:r>
      <w:r>
        <w:rPr>
          <w:rFonts w:hint="eastAsia" w:ascii="仿宋_GB2312" w:hAnsi="仿宋_GB2312" w:eastAsia="仿宋_GB2312" w:cs="仿宋_GB2312"/>
          <w:sz w:val="32"/>
          <w:szCs w:val="32"/>
        </w:rPr>
        <w:t>万元的整数倍。</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三、时间安排</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（一）公告时间：</w:t>
      </w:r>
      <w:r>
        <w:rPr>
          <w:rFonts w:hint="eastAsia" w:ascii="仿宋_GB2312" w:hAnsi="仿宋_GB2312" w:eastAsia="仿宋_GB2312" w:cs="仿宋_GB2312"/>
          <w:sz w:val="32"/>
          <w:szCs w:val="32"/>
        </w:rPr>
        <w:t>2022年11月1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日至2022年12月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pStyle w:val="5"/>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（二）网上挂牌竞买时间：2022年12月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日9时至2022 年12月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日10时。</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（三）竞买保证金到账截止时间为：2022年12月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日9时。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四、竞买资格及要求</w:t>
      </w:r>
    </w:p>
    <w:p>
      <w:pPr>
        <w:pStyle w:val="9"/>
        <w:widowControl/>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中华人民共和国境内外的法人、自然人和其他组织（除法律法规另有规定外）具备本条规定条件的，均可申请参加竞买。申请人可以单独申请，也可以联合申请，竞买申请人必须同时具备下列条件：</w:t>
      </w:r>
    </w:p>
    <w:p>
      <w:pPr>
        <w:pStyle w:val="9"/>
        <w:widowControl/>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（一）缴交竞买保证金20944</w:t>
      </w:r>
      <w:r>
        <w:rPr>
          <w:rFonts w:hint="eastAsia" w:ascii="仿宋_GB2312" w:hAnsi="仿宋_GB2312" w:eastAsia="仿宋_GB2312" w:cs="仿宋_GB2312"/>
          <w:sz w:val="32"/>
          <w:szCs w:val="32"/>
        </w:rPr>
        <w:t>万元人民币；</w:t>
      </w:r>
    </w:p>
    <w:p>
      <w:pPr>
        <w:pStyle w:val="9"/>
        <w:widowControl/>
        <w:spacing w:line="520" w:lineRule="exact"/>
        <w:ind w:firstLine="640" w:firstLineChars="200"/>
        <w:jc w:val="both"/>
        <w:rPr>
          <w:rFonts w:hint="eastAsia" w:ascii="仿宋_GB2312" w:hAnsi="仿宋_GB2312" w:eastAsia="仿宋_GB2312" w:cs="仿宋_GB2312"/>
          <w:sz w:val="32"/>
          <w:szCs w:val="32"/>
          <w:lang w:eastAsia="zh-CN"/>
        </w:rPr>
      </w:pPr>
      <w:bookmarkStart w:id="0" w:name="bookmark11"/>
      <w:r>
        <w:rPr>
          <w:rFonts w:hint="eastAsia" w:ascii="仿宋_GB2312" w:hAnsi="仿宋_GB2312" w:eastAsia="仿宋_GB2312" w:cs="仿宋_GB2312"/>
          <w:color w:val="000000"/>
          <w:sz w:val="32"/>
          <w:szCs w:val="32"/>
        </w:rPr>
        <w:t>（</w:t>
      </w:r>
      <w:bookmarkEnd w:id="0"/>
      <w:r>
        <w:rPr>
          <w:rFonts w:hint="eastAsia" w:ascii="仿宋_GB2312" w:hAnsi="仿宋_GB2312" w:eastAsia="仿宋_GB2312" w:cs="仿宋_GB2312"/>
          <w:color w:val="000000"/>
          <w:sz w:val="32"/>
          <w:szCs w:val="32"/>
        </w:rPr>
        <w:t>二）拖欠地价款、闲置土地、囤地炒地、有违法或不良信用记录的企业及其控股股东不得参与竞买</w:t>
      </w:r>
      <w:r>
        <w:rPr>
          <w:rFonts w:hint="eastAsia" w:ascii="仿宋_GB2312" w:hAnsi="仿宋_GB2312" w:eastAsia="仿宋_GB2312" w:cs="仿宋_GB2312"/>
          <w:color w:val="000000"/>
          <w:sz w:val="32"/>
          <w:szCs w:val="32"/>
          <w:lang w:eastAsia="zh-CN"/>
        </w:rPr>
        <w:t>；</w:t>
      </w:r>
    </w:p>
    <w:p>
      <w:pPr>
        <w:pStyle w:val="9"/>
        <w:widowControl/>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（三）竞买申请人须具备房地产开发资质（或者具备住建部门出具的房地产开发企业资质的核准意见），且同一企业及控股公司只允许一家企业参与竞买。</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五、需要说明的事项</w:t>
      </w:r>
    </w:p>
    <w:p>
      <w:pPr>
        <w:pStyle w:val="6"/>
        <w:widowControl w:val="0"/>
        <w:spacing w:before="0" w:line="52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（一）地块竞价溢价达到总地价48171万元时，转为采用摇号方式确定竞得人；</w:t>
      </w:r>
    </w:p>
    <w:p>
      <w:pPr>
        <w:pStyle w:val="6"/>
        <w:widowControl w:val="0"/>
        <w:spacing w:before="0" w:line="52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（二）该地块所建商品住房单套毛坯住房最高销售单价</w:t>
      </w:r>
      <w:r>
        <w:rPr>
          <w:rFonts w:hint="eastAsia" w:ascii="仿宋_GB2312" w:hAnsi="仿宋_GB2312" w:eastAsia="仿宋_GB2312" w:cs="仿宋_GB2312"/>
          <w:bCs/>
          <w:szCs w:val="32"/>
        </w:rPr>
        <w:t>12522</w:t>
      </w:r>
      <w:r>
        <w:rPr>
          <w:rFonts w:hint="eastAsia" w:ascii="仿宋_GB2312" w:hAnsi="仿宋_GB2312" w:eastAsia="仿宋_GB2312" w:cs="仿宋_GB2312"/>
          <w:szCs w:val="32"/>
        </w:rPr>
        <w:t>元/㎡；</w:t>
      </w:r>
    </w:p>
    <w:p>
      <w:pPr>
        <w:pStyle w:val="6"/>
        <w:widowControl w:val="0"/>
        <w:spacing w:before="0" w:line="52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三）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6"/>
        <w:widowControl w:val="0"/>
        <w:spacing w:before="0" w:line="52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（四）竞得人除缴交成交地价款外，还需按规定缴交契税等有关税费；</w:t>
      </w:r>
    </w:p>
    <w:p>
      <w:pPr>
        <w:pStyle w:val="6"/>
        <w:widowControl w:val="0"/>
        <w:spacing w:before="0" w:line="520" w:lineRule="exact"/>
        <w:jc w:val="both"/>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（五）非仲恺高新区注册登记的企业竞得土地使用权的，必须在竞得土地后2个月内在仲恺高新区市场监督管理部门注册成立项目开发公司，并以该公司名义办理土地出让与登记发证手续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szCs w:val="32"/>
          <w:lang w:eastAsia="zh-CN"/>
        </w:rPr>
        <w:t>；</w:t>
      </w:r>
    </w:p>
    <w:p>
      <w:pPr>
        <w:pStyle w:val="2"/>
        <w:widowControl/>
        <w:spacing w:line="560" w:lineRule="exact"/>
        <w:ind w:firstLine="640"/>
        <w:rPr>
          <w:rFonts w:hint="eastAsia" w:ascii="仿宋_GB2312" w:hAnsi="仿宋_GB2312" w:eastAsia="仿宋_GB2312" w:cs="仿宋_GB2312"/>
          <w:bCs/>
          <w:szCs w:val="32"/>
        </w:rPr>
      </w:pPr>
      <w:r>
        <w:rPr>
          <w:rFonts w:hint="eastAsia" w:ascii="仿宋_GB2312" w:hAnsi="仿宋_GB2312" w:eastAsia="仿宋_GB2312" w:cs="仿宋_GB2312"/>
          <w:szCs w:val="32"/>
        </w:rPr>
        <w:t>(六）为推进住宅区养老服务设施建设，竞得人须配建</w:t>
      </w:r>
      <w:r>
        <w:rPr>
          <w:rFonts w:hint="eastAsia" w:ascii="仿宋_GB2312" w:hAnsi="仿宋_GB2312" w:eastAsia="仿宋_GB2312" w:cs="仿宋_GB2312"/>
          <w:szCs w:val="32"/>
          <w:lang w:val="en-US" w:eastAsia="zh-CN"/>
        </w:rPr>
        <w:t>老年人日间照料中心</w:t>
      </w:r>
      <w:r>
        <w:rPr>
          <w:rFonts w:hint="eastAsia" w:ascii="仿宋_GB2312" w:hAnsi="仿宋_GB2312" w:eastAsia="仿宋_GB2312" w:cs="仿宋_GB2312"/>
          <w:szCs w:val="32"/>
        </w:rPr>
        <w:t>，建成后无偿移交给仲恺高新区社会事务局；由仲恺高新区社会事务局负责提供</w:t>
      </w:r>
      <w:r>
        <w:rPr>
          <w:rFonts w:hint="eastAsia" w:ascii="仿宋_GB2312" w:hAnsi="仿宋_GB2312" w:eastAsia="仿宋_GB2312" w:cs="仿宋_GB2312"/>
          <w:szCs w:val="32"/>
          <w:lang w:val="en-US" w:eastAsia="zh-CN"/>
        </w:rPr>
        <w:t>日间照料中心</w:t>
      </w:r>
      <w:r>
        <w:rPr>
          <w:rFonts w:hint="eastAsia" w:ascii="仿宋_GB2312" w:hAnsi="仿宋_GB2312" w:eastAsia="仿宋_GB2312" w:cs="仿宋_GB2312"/>
          <w:szCs w:val="32"/>
        </w:rPr>
        <w:t>建设标准、审定建设方案，</w:t>
      </w:r>
      <w:r>
        <w:rPr>
          <w:rFonts w:hint="eastAsia" w:ascii="仿宋_GB2312" w:hAnsi="仿宋_GB2312" w:eastAsia="仿宋_GB2312" w:cs="仿宋_GB2312"/>
          <w:szCs w:val="32"/>
          <w:lang w:val="en-US" w:eastAsia="zh-CN"/>
        </w:rPr>
        <w:t>竞得人须与仲恺高新区社会事务局签订日间照料中心配建及监管协议</w:t>
      </w:r>
      <w:r>
        <w:rPr>
          <w:rFonts w:hint="eastAsia" w:ascii="仿宋_GB2312" w:hAnsi="仿宋_GB2312" w:eastAsia="仿宋_GB2312" w:cs="仿宋_GB2312"/>
          <w:szCs w:val="32"/>
        </w:rPr>
        <w:t>。</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六、竞买保证金</w:t>
      </w:r>
    </w:p>
    <w:p>
      <w:pPr>
        <w:pStyle w:val="6"/>
        <w:widowControl w:val="0"/>
        <w:spacing w:before="0" w:line="520" w:lineRule="exact"/>
        <w:jc w:val="both"/>
        <w:rPr>
          <w:rFonts w:hint="eastAsia" w:ascii="仿宋_GB2312" w:hAnsi="仿宋_GB2312" w:eastAsia="仿宋_GB2312" w:cs="仿宋_GB2312"/>
          <w:szCs w:val="32"/>
        </w:rPr>
      </w:pPr>
      <w:r>
        <w:rPr>
          <w:rFonts w:hint="eastAsia" w:ascii="仿宋_GB2312" w:hAnsi="仿宋_GB2312" w:eastAsia="仿宋_GB2312" w:cs="仿宋_GB2312"/>
          <w:szCs w:val="32"/>
        </w:rPr>
        <w:t>（一）该宗地竞买保证金为人民币20944万元。</w:t>
      </w:r>
    </w:p>
    <w:p>
      <w:pPr>
        <w:pStyle w:val="32"/>
        <w:tabs>
          <w:tab w:val="left" w:pos="1283"/>
        </w:tabs>
        <w:spacing w:line="560" w:lineRule="exact"/>
        <w:ind w:firstLine="640" w:firstLineChars="200"/>
        <w:rPr>
          <w:rFonts w:hint="eastAsia" w:ascii="仿宋_GB2312" w:hAnsi="仿宋_GB2312" w:eastAsia="仿宋_GB2312" w:cs="仿宋_GB2312"/>
          <w:color w:val="000000"/>
          <w:sz w:val="32"/>
          <w:szCs w:val="32"/>
        </w:rPr>
      </w:pPr>
      <w:bookmarkStart w:id="1" w:name="bookmark19"/>
      <w:r>
        <w:rPr>
          <w:rFonts w:hint="eastAsia" w:ascii="仿宋_GB2312" w:hAnsi="仿宋_GB2312" w:eastAsia="仿宋_GB2312" w:cs="仿宋_GB2312"/>
          <w:color w:val="000000"/>
          <w:sz w:val="32"/>
          <w:szCs w:val="32"/>
        </w:rPr>
        <w:t>（</w:t>
      </w:r>
      <w:bookmarkEnd w:id="1"/>
      <w:r>
        <w:rPr>
          <w:rFonts w:hint="eastAsia" w:ascii="仿宋_GB2312" w:hAnsi="仿宋_GB2312" w:eastAsia="仿宋_GB2312" w:cs="仿宋_GB2312"/>
          <w:color w:val="000000"/>
          <w:sz w:val="32"/>
          <w:szCs w:val="32"/>
        </w:rPr>
        <w:t>二）申请人应当在网上挂牌出让竞买保证金到账截止时间前登录惠州市公共资源交易中心土地与矿业网上挂牌交易系统（以下简称“网上挂牌交易系统”，网址：</w:t>
      </w:r>
      <w:r>
        <w:rPr>
          <w:rFonts w:hint="eastAsia" w:ascii="仿宋_GB2312" w:hAnsi="仿宋_GB2312" w:eastAsia="仿宋_GB2312" w:cs="仿宋_GB2312"/>
          <w:color w:val="000000"/>
          <w:sz w:val="32"/>
          <w:szCs w:val="32"/>
          <w:lang w:val="en-US" w:eastAsia="en-US"/>
        </w:rPr>
        <w:t>https://www.hzgtjy.com/</w:t>
      </w:r>
      <w:r>
        <w:rPr>
          <w:rFonts w:hint="eastAsia" w:ascii="仿宋_GB2312" w:hAnsi="仿宋_GB2312" w:eastAsia="仿宋_GB2312" w:cs="仿宋_GB2312"/>
          <w:color w:val="000000"/>
          <w:sz w:val="32"/>
          <w:szCs w:val="32"/>
        </w:rPr>
        <w:t>）获取竞买保证金支付账号。</w:t>
      </w:r>
    </w:p>
    <w:p>
      <w:pPr>
        <w:pStyle w:val="32"/>
        <w:tabs>
          <w:tab w:val="left" w:pos="1283"/>
        </w:tabs>
        <w:spacing w:line="560" w:lineRule="exact"/>
        <w:ind w:firstLine="640" w:firstLineChars="200"/>
        <w:rPr>
          <w:rFonts w:hint="eastAsia" w:ascii="仿宋_GB2312" w:hAnsi="仿宋_GB2312" w:eastAsia="仿宋_GB2312" w:cs="仿宋_GB2312"/>
          <w:color w:val="000000"/>
          <w:sz w:val="32"/>
          <w:szCs w:val="32"/>
        </w:rPr>
      </w:pPr>
      <w:bookmarkStart w:id="2" w:name="bookmark20"/>
      <w:r>
        <w:rPr>
          <w:rFonts w:hint="eastAsia" w:ascii="仿宋_GB2312" w:hAnsi="仿宋_GB2312" w:eastAsia="仿宋_GB2312" w:cs="仿宋_GB2312"/>
          <w:color w:val="000000"/>
          <w:sz w:val="32"/>
          <w:szCs w:val="32"/>
        </w:rPr>
        <w:t>（</w:t>
      </w:r>
      <w:bookmarkEnd w:id="2"/>
      <w:r>
        <w:rPr>
          <w:rFonts w:hint="eastAsia" w:ascii="仿宋_GB2312" w:hAnsi="仿宋_GB2312" w:eastAsia="仿宋_GB2312" w:cs="仿宋_GB2312"/>
          <w:color w:val="000000"/>
          <w:sz w:val="32"/>
          <w:szCs w:val="32"/>
        </w:rPr>
        <w:t>三）竞买保证金到账时间以网上挂牌交易系统确认并发出《保证金到账通知书》为准。</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七、竞买申请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国有建设用地使用权网上挂牌出让只接受网上竞买申请，即通过网上挂牌交易系统进行，不接受电话、邮寄、书面、电子邮件及口头竞买。凡符合竞买资格要求并办理数字证书、按要求足额交纳竞买保证金的申请人，方可参加网上挂牌交易活动。</w:t>
      </w:r>
    </w:p>
    <w:p>
      <w:pPr>
        <w:pStyle w:val="5"/>
        <w:spacing w:line="520" w:lineRule="exact"/>
        <w:ind w:firstLine="579" w:firstLineChars="18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本宗国有建设用地使用权网上挂牌出让实行竞买资格后置审查。竞买申请人交纳足额竞买保证金即获得竞买报价权限。</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八、竞买人电子报价、电子限时竞价及摇号</w:t>
      </w:r>
    </w:p>
    <w:p>
      <w:pPr>
        <w:pStyle w:val="5"/>
        <w:spacing w:line="520" w:lineRule="exact"/>
        <w:ind w:firstLine="579" w:firstLineChars="181"/>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竞买人须详细阅读本宗地网上挂牌出让公告、竞买须知及网上挂牌交易系统操作指南，熟练操作网上挂牌交易系统，按竞买规则进行电子报价及电子限时竞价。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九、确定成交候选人</w:t>
      </w:r>
    </w:p>
    <w:p>
      <w:pPr>
        <w:pStyle w:val="5"/>
        <w:spacing w:line="520" w:lineRule="exact"/>
        <w:ind w:firstLine="579" w:firstLineChars="18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本宗国有建设用地使用权网上挂牌出让为无底价挂牌，采取</w:t>
      </w:r>
      <w:r>
        <w:rPr>
          <w:rFonts w:hint="eastAsia" w:ascii="仿宋_GB2312" w:hAnsi="仿宋_GB2312" w:eastAsia="仿宋_GB2312" w:cs="仿宋_GB2312"/>
          <w:bCs/>
          <w:sz w:val="32"/>
          <w:szCs w:val="32"/>
        </w:rPr>
        <w:t>“限地价、摇号”</w:t>
      </w:r>
      <w:r>
        <w:rPr>
          <w:rFonts w:hint="eastAsia" w:ascii="仿宋_GB2312" w:hAnsi="仿宋_GB2312" w:eastAsia="仿宋_GB2312" w:cs="仿宋_GB2312"/>
          <w:sz w:val="32"/>
          <w:szCs w:val="32"/>
        </w:rPr>
        <w:t>方式出让并确定成交候选人。</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十、资格审查</w:t>
      </w:r>
    </w:p>
    <w:p>
      <w:pPr>
        <w:pStyle w:val="5"/>
        <w:spacing w:line="520" w:lineRule="exact"/>
        <w:ind w:firstLine="579" w:firstLineChars="18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成交候选人应在网上挂牌交易系统确定成交候选人之日起5个工作日内将竞买申请纸质材料提交至我局，由我局对竞买资格进行审查。我局将于2022年12月2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日前确定符合竞买资格的成交候选人为竞得人。 </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成交候选人资格审查须提交下列材料（一式两份）：</w:t>
      </w:r>
    </w:p>
    <w:p>
      <w:pPr>
        <w:pStyle w:val="9"/>
        <w:widowControl/>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（一）《竞买申请书》（加盖公章）；</w:t>
      </w:r>
    </w:p>
    <w:p>
      <w:pPr>
        <w:pStyle w:val="9"/>
        <w:widowControl/>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（二）《竞价结果通知书》（加盖公章）；</w:t>
      </w:r>
    </w:p>
    <w:p>
      <w:pPr>
        <w:pStyle w:val="9"/>
        <w:widowControl/>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（三）《竞买保证金到账通知书》（加盖公章）；</w:t>
      </w:r>
    </w:p>
    <w:p>
      <w:pPr>
        <w:pStyle w:val="9"/>
        <w:widowControl/>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（四）竞买保证金转账凭证复印件（加盖公章）；</w:t>
      </w:r>
    </w:p>
    <w:p>
      <w:pPr>
        <w:pStyle w:val="9"/>
        <w:widowControl/>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（五）申请竞买人有效的《营业执照》复印件（加盖公章）；</w:t>
      </w:r>
    </w:p>
    <w:p>
      <w:pPr>
        <w:pStyle w:val="9"/>
        <w:widowControl/>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（六）法定代表人身份证复印件（加盖公章）；</w:t>
      </w:r>
    </w:p>
    <w:p>
      <w:pPr>
        <w:pStyle w:val="9"/>
        <w:widowControl/>
        <w:spacing w:line="520" w:lineRule="exact"/>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（七）授权他人代理的授权委托书及代理人身份证复印件（核对原件）</w:t>
      </w:r>
      <w:r>
        <w:rPr>
          <w:rFonts w:hint="eastAsia" w:ascii="仿宋_GB2312" w:hAnsi="仿宋_GB2312" w:eastAsia="仿宋_GB2312" w:cs="仿宋_GB2312"/>
          <w:kern w:val="2"/>
          <w:sz w:val="32"/>
          <w:szCs w:val="32"/>
          <w:lang w:eastAsia="zh-CN"/>
        </w:rPr>
        <w:t>；</w:t>
      </w:r>
    </w:p>
    <w:p>
      <w:pPr>
        <w:pStyle w:val="9"/>
        <w:widowControl/>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（八）房地产开发资质材料;</w:t>
      </w:r>
    </w:p>
    <w:p>
      <w:pPr>
        <w:pStyle w:val="9"/>
        <w:widowControl/>
        <w:spacing w:line="520" w:lineRule="exact"/>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（九）购地资金来源承诺书</w:t>
      </w:r>
      <w:r>
        <w:rPr>
          <w:rFonts w:hint="eastAsia" w:ascii="仿宋_GB2312" w:hAnsi="仿宋_GB2312" w:eastAsia="仿宋_GB2312" w:cs="仿宋_GB2312"/>
          <w:kern w:val="2"/>
          <w:sz w:val="32"/>
          <w:szCs w:val="32"/>
          <w:lang w:eastAsia="zh-CN"/>
        </w:rPr>
        <w:t>。</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十一、签订成交确认书、出让合同及支付土地出让金</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付清出让金及有关税费后，竞得人可申请办理建设用地审批及土地登记发证手续。</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十二、竞买保证金退还或转付成交价款</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未成功竞得的竞买人所交竞买保证金，在5个工作日内予以退还；若违法违规竞买的，按有关规定处罚后予以退还。</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竞得人签订《成交确认书》后，缴交的保证金中按成交价的20%转作定金;竞得人逾期或拒绝签订《出让合同》的，定金不予退还。竞得人签订《出让合同》后，定金转作土地出让价款。</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十三、违规责任</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成交候选人（或竞得人）有下列行为之一的，取消候选人资格（或竞得资格），竞价结果无效，竞买保证金不予退还,造成损失的，成交候选人（或竞得人）还应依法承担赔偿责任：</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（二）提供虚假文件材料，隐瞒重要事实的；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（三）采取行贿、恶意串通等非法手段竞得的；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（四）无正当理由逾期或拒绝签订成交确认书的；</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十四、其他需要公告的事项</w:t>
      </w:r>
    </w:p>
    <w:p>
      <w:pPr>
        <w:spacing w:line="52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（一）本宗地网上挂牌出让的详细资料和具体要求，见网上挂牌交易系统。申请人可在网上挂牌交易系统下载挂牌出让公告、须知及相关交易文件。</w:t>
      </w:r>
    </w:p>
    <w:p>
      <w:pPr>
        <w:pStyle w:val="5"/>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（二）有意竞买者可以自行到地块现场踏勘（可在网上挂牌交易系统查阅用地红线图）。</w:t>
      </w:r>
    </w:p>
    <w:p>
      <w:pPr>
        <w:pStyle w:val="5"/>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（三）竞买申请一经受理确认后，即视为竞买人对网上挂牌出让公告、须知、相关交易文件及地块现状无异议并全部接受，并对有关承诺承担法律责任。</w:t>
      </w:r>
    </w:p>
    <w:p>
      <w:pPr>
        <w:pStyle w:val="5"/>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（四）地块动工竣工时间及地块交付时间</w:t>
      </w:r>
    </w:p>
    <w:p>
      <w:pPr>
        <w:pStyle w:val="5"/>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《出让合同》签订之日交付土地；动工时间为土地交付之日起1年内，竣工时间为土地交付之日起3年内。</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（五）该宗地交易全程适用《惠州市政务服务数据管理局 惠州市公共资源交易中心公共资源电子交易规则》（惠市政数〔2022〕3号）。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十五、联系方式：</w:t>
      </w:r>
    </w:p>
    <w:p>
      <w:pPr>
        <w:spacing w:line="520" w:lineRule="exact"/>
        <w:ind w:right="64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出让方：惠州市仲恺高新区国土资源分局</w:t>
      </w:r>
    </w:p>
    <w:p>
      <w:pPr>
        <w:spacing w:line="520" w:lineRule="exact"/>
        <w:ind w:right="64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联系地址：广东省惠州市仲恺高新区和畅五路人才服务大厦5楼</w:t>
      </w:r>
    </w:p>
    <w:p>
      <w:pPr>
        <w:spacing w:line="520" w:lineRule="exact"/>
        <w:ind w:right="64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联系人：游元媛</w:t>
      </w:r>
    </w:p>
    <w:p>
      <w:pPr>
        <w:spacing w:line="520" w:lineRule="exact"/>
        <w:ind w:right="64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en-US"/>
        </w:rPr>
        <w:t>0752-3271636</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交易机构：惠州市公共资源交易中心仲恺分中心</w:t>
      </w:r>
    </w:p>
    <w:p>
      <w:pPr>
        <w:pStyle w:val="24"/>
        <w:spacing w:line="52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kern w:val="0"/>
          <w:sz w:val="32"/>
          <w:szCs w:val="32"/>
        </w:rPr>
        <w:t>广东省惠州市仲恺高新区和畅五路人才服务</w:t>
      </w:r>
    </w:p>
    <w:p>
      <w:pPr>
        <w:pStyle w:val="24"/>
        <w:spacing w:line="520" w:lineRule="exact"/>
        <w:ind w:firstLine="2240"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大厦10楼</w:t>
      </w:r>
    </w:p>
    <w:p>
      <w:pPr>
        <w:pStyle w:val="24"/>
        <w:spacing w:line="52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kern w:val="0"/>
          <w:sz w:val="32"/>
          <w:szCs w:val="32"/>
        </w:rPr>
        <w:t>汪鑫 欧阳海棠</w:t>
      </w:r>
    </w:p>
    <w:p>
      <w:pPr>
        <w:pStyle w:val="24"/>
        <w:spacing w:line="520" w:lineRule="exact"/>
        <w:ind w:firstLine="640" w:firstLineChars="20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kern w:val="0"/>
          <w:sz w:val="32"/>
          <w:szCs w:val="32"/>
        </w:rPr>
        <w:t>0752-</w:t>
      </w:r>
      <w:r>
        <w:rPr>
          <w:rFonts w:hint="eastAsia" w:ascii="仿宋_GB2312" w:hAnsi="仿宋_GB2312" w:eastAsia="仿宋_GB2312" w:cs="仿宋_GB2312"/>
          <w:kern w:val="0"/>
          <w:sz w:val="32"/>
          <w:szCs w:val="32"/>
          <w:lang w:val="en-US" w:eastAsia="zh-CN"/>
        </w:rPr>
        <w:t>3278419</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color w:val="auto"/>
          <w:sz w:val="32"/>
          <w:szCs w:val="32"/>
          <w:u w:val="none"/>
        </w:rPr>
        <w:t>http://zyjy.huizhou.gov.cn</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惠州市公共资源交易中心仲恺分中心网站：</w:t>
      </w:r>
      <w:r>
        <w:rPr>
          <w:rFonts w:hint="eastAsia" w:ascii="仿宋_GB2312" w:hAnsi="仿宋_GB2312" w:eastAsia="仿宋_GB2312" w:cs="仿宋_GB2312"/>
          <w:color w:val="auto"/>
          <w:sz w:val="32"/>
          <w:szCs w:val="32"/>
          <w:u w:val="none"/>
        </w:rPr>
        <w:t>http://www.hzzk.gov.cn/gwhbm/hzsggzyjyzxzzfzx/index.html</w:t>
      </w:r>
    </w:p>
    <w:p>
      <w:pPr>
        <w:pStyle w:val="2"/>
        <w:ind w:firstLine="640"/>
        <w:rPr>
          <w:rFonts w:hint="eastAsia" w:ascii="仿宋_GB2312" w:hAnsi="仿宋_GB2312" w:eastAsia="仿宋_GB2312" w:cs="仿宋_GB2312"/>
        </w:rPr>
      </w:pPr>
      <w:r>
        <w:rPr>
          <w:rFonts w:hint="eastAsia" w:ascii="仿宋_GB2312" w:hAnsi="仿宋_GB2312" w:eastAsia="仿宋_GB2312" w:cs="仿宋_GB2312"/>
        </w:rPr>
        <w:t>惠州市仲恺高新区国土资源分局网站：</w:t>
      </w:r>
      <w:r>
        <w:rPr>
          <w:rFonts w:hint="eastAsia" w:ascii="仿宋_GB2312" w:hAnsi="仿宋_GB2312" w:eastAsia="仿宋_GB2312" w:cs="仿宋_GB2312"/>
          <w:color w:val="auto"/>
          <w:u w:val="none"/>
        </w:rPr>
        <w:t>http://www.hzzk.gov.cn/gwhbm/zzgxqgtzyfj/</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惠州市公共资源交易中心仲恺分中心服务大厅电子屏幕。</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联系人：罗工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联系电话：0752-7121029</w:t>
      </w:r>
    </w:p>
    <w:p>
      <w:pPr>
        <w:pStyle w:val="5"/>
        <w:spacing w:line="520" w:lineRule="exact"/>
        <w:ind w:firstLine="0" w:firstLineChars="0"/>
        <w:rPr>
          <w:rFonts w:hint="eastAsia" w:ascii="仿宋_GB2312" w:hAnsi="仿宋_GB2312" w:eastAsia="仿宋_GB2312" w:cs="仿宋_GB2312"/>
          <w:sz w:val="32"/>
          <w:szCs w:val="32"/>
        </w:rPr>
      </w:pPr>
    </w:p>
    <w:p>
      <w:pPr>
        <w:spacing w:line="520" w:lineRule="exact"/>
        <w:jc w:val="right"/>
        <w:rPr>
          <w:rFonts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 xml:space="preserve">                 惠州市仲恺高新区国土资源分局                                       2022年11月1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pStyle w:val="32"/>
        <w:spacing w:after="260" w:line="240" w:lineRule="auto"/>
        <w:ind w:firstLine="0"/>
        <w:jc w:val="left"/>
      </w:pPr>
      <w:r>
        <w:rPr>
          <w:color w:val="000000"/>
        </w:rPr>
        <w:t>附表:</w:t>
      </w:r>
    </w:p>
    <w:p>
      <w:pPr>
        <w:pStyle w:val="33"/>
        <w:jc w:val="center"/>
        <w:rPr>
          <w:rFonts w:hint="eastAsia" w:ascii="仿宋_GB2312" w:hAnsi="仿宋_GB2312" w:eastAsia="仿宋_GB2312" w:cs="仿宋_GB2312"/>
          <w:b/>
          <w:bCs/>
          <w:color w:val="000000"/>
          <w:sz w:val="44"/>
          <w:szCs w:val="44"/>
        </w:rPr>
      </w:pPr>
      <w:r>
        <w:rPr>
          <w:rFonts w:hint="eastAsia" w:ascii="仿宋_GB2312" w:hAnsi="仿宋_GB2312" w:eastAsia="仿宋_GB2312" w:cs="仿宋_GB2312"/>
          <w:b/>
          <w:bCs/>
          <w:color w:val="000000"/>
          <w:sz w:val="44"/>
          <w:szCs w:val="44"/>
        </w:rPr>
        <w:t>网上挂牌出让地块基本情况及规划建设指标</w:t>
      </w:r>
    </w:p>
    <w:p>
      <w:pPr>
        <w:pStyle w:val="33"/>
        <w:jc w:val="center"/>
        <w:rPr>
          <w:color w:val="000000"/>
        </w:rPr>
      </w:pPr>
    </w:p>
    <w:tbl>
      <w:tblPr>
        <w:tblStyle w:val="10"/>
        <w:tblW w:w="15612" w:type="dxa"/>
        <w:jc w:val="center"/>
        <w:tblLayout w:type="fixed"/>
        <w:tblCellMar>
          <w:top w:w="0" w:type="dxa"/>
          <w:left w:w="10" w:type="dxa"/>
          <w:bottom w:w="0" w:type="dxa"/>
          <w:right w:w="10" w:type="dxa"/>
        </w:tblCellMar>
      </w:tblPr>
      <w:tblGrid>
        <w:gridCol w:w="548"/>
        <w:gridCol w:w="724"/>
        <w:gridCol w:w="1140"/>
        <w:gridCol w:w="516"/>
        <w:gridCol w:w="1116"/>
        <w:gridCol w:w="936"/>
        <w:gridCol w:w="708"/>
        <w:gridCol w:w="852"/>
        <w:gridCol w:w="1740"/>
        <w:gridCol w:w="569"/>
        <w:gridCol w:w="1794"/>
        <w:gridCol w:w="647"/>
        <w:gridCol w:w="698"/>
        <w:gridCol w:w="864"/>
        <w:gridCol w:w="840"/>
        <w:gridCol w:w="1056"/>
        <w:gridCol w:w="864"/>
      </w:tblGrid>
      <w:tr>
        <w:tblPrEx>
          <w:tblCellMar>
            <w:top w:w="0" w:type="dxa"/>
            <w:left w:w="10" w:type="dxa"/>
            <w:bottom w:w="0" w:type="dxa"/>
            <w:right w:w="10" w:type="dxa"/>
          </w:tblCellMar>
        </w:tblPrEx>
        <w:trPr>
          <w:trHeight w:val="432" w:hRule="exact"/>
          <w:jc w:val="center"/>
        </w:trPr>
        <w:tc>
          <w:tcPr>
            <w:tcW w:w="548" w:type="dxa"/>
            <w:vMerge w:val="restart"/>
            <w:tcBorders>
              <w:top w:val="single" w:color="auto" w:sz="4" w:space="0"/>
              <w:left w:val="single" w:color="auto" w:sz="4" w:space="0"/>
            </w:tcBorders>
            <w:shd w:val="clear" w:color="auto" w:fill="FFFFFF"/>
            <w:vAlign w:val="center"/>
          </w:tcPr>
          <w:p>
            <w:pPr>
              <w:pStyle w:val="34"/>
              <w:spacing w:line="324" w:lineRule="exact"/>
              <w:ind w:firstLine="0"/>
              <w:jc w:val="center"/>
              <w:rPr>
                <w:sz w:val="22"/>
                <w:szCs w:val="22"/>
              </w:rPr>
            </w:pPr>
            <w:r>
              <w:rPr>
                <w:color w:val="000000"/>
                <w:sz w:val="22"/>
                <w:szCs w:val="22"/>
              </w:rPr>
              <w:t>挂牌地块编号</w:t>
            </w:r>
          </w:p>
        </w:tc>
        <w:tc>
          <w:tcPr>
            <w:tcW w:w="724" w:type="dxa"/>
            <w:vMerge w:val="restart"/>
            <w:tcBorders>
              <w:top w:val="single" w:color="auto" w:sz="4" w:space="0"/>
              <w:left w:val="single" w:color="auto" w:sz="4" w:space="0"/>
            </w:tcBorders>
            <w:shd w:val="clear" w:color="auto" w:fill="FFFFFF"/>
            <w:vAlign w:val="center"/>
          </w:tcPr>
          <w:p>
            <w:pPr>
              <w:pStyle w:val="34"/>
              <w:spacing w:line="324" w:lineRule="exact"/>
              <w:ind w:firstLine="0"/>
              <w:jc w:val="center"/>
              <w:rPr>
                <w:color w:val="000000"/>
                <w:sz w:val="22"/>
                <w:szCs w:val="22"/>
              </w:rPr>
            </w:pPr>
            <w:r>
              <w:rPr>
                <w:color w:val="000000"/>
                <w:sz w:val="22"/>
                <w:szCs w:val="22"/>
              </w:rPr>
              <w:t>土地位置</w:t>
            </w:r>
          </w:p>
        </w:tc>
        <w:tc>
          <w:tcPr>
            <w:tcW w:w="1140" w:type="dxa"/>
            <w:vMerge w:val="restart"/>
            <w:tcBorders>
              <w:top w:val="single" w:color="auto" w:sz="4" w:space="0"/>
              <w:left w:val="single" w:color="auto" w:sz="4" w:space="0"/>
            </w:tcBorders>
            <w:shd w:val="clear" w:color="auto" w:fill="FFFFFF"/>
            <w:vAlign w:val="center"/>
          </w:tcPr>
          <w:p>
            <w:pPr>
              <w:pStyle w:val="34"/>
              <w:spacing w:line="324" w:lineRule="exact"/>
              <w:ind w:firstLine="0"/>
              <w:jc w:val="center"/>
              <w:rPr>
                <w:color w:val="000000"/>
                <w:sz w:val="22"/>
                <w:szCs w:val="22"/>
                <w:lang w:val="en-US" w:eastAsia="zh-CN"/>
              </w:rPr>
            </w:pPr>
            <w:r>
              <w:rPr>
                <w:color w:val="000000"/>
                <w:sz w:val="22"/>
                <w:szCs w:val="22"/>
              </w:rPr>
              <w:t>用地编</w:t>
            </w:r>
            <w:r>
              <w:rPr>
                <w:rFonts w:hint="eastAsia"/>
                <w:color w:val="000000"/>
                <w:sz w:val="22"/>
                <w:szCs w:val="22"/>
                <w:lang w:val="en-US" w:eastAsia="zh-CN"/>
              </w:rPr>
              <w:t>号</w:t>
            </w:r>
          </w:p>
        </w:tc>
        <w:tc>
          <w:tcPr>
            <w:tcW w:w="516" w:type="dxa"/>
            <w:vMerge w:val="restart"/>
            <w:tcBorders>
              <w:top w:val="single" w:color="auto" w:sz="4" w:space="0"/>
              <w:left w:val="single" w:color="auto" w:sz="4" w:space="0"/>
            </w:tcBorders>
            <w:shd w:val="clear" w:color="auto" w:fill="FFFFFF"/>
            <w:vAlign w:val="center"/>
          </w:tcPr>
          <w:p>
            <w:pPr>
              <w:pStyle w:val="34"/>
              <w:spacing w:line="324" w:lineRule="exact"/>
              <w:ind w:firstLine="0"/>
              <w:jc w:val="center"/>
              <w:rPr>
                <w:color w:val="000000"/>
                <w:sz w:val="22"/>
                <w:szCs w:val="22"/>
              </w:rPr>
            </w:pPr>
            <w:r>
              <w:rPr>
                <w:rFonts w:hint="eastAsia"/>
                <w:color w:val="000000"/>
                <w:sz w:val="22"/>
                <w:szCs w:val="22"/>
                <w:lang w:val="en-US" w:eastAsia="zh-CN"/>
              </w:rPr>
              <w:t>土</w:t>
            </w:r>
            <w:r>
              <w:rPr>
                <w:color w:val="000000"/>
                <w:sz w:val="22"/>
                <w:szCs w:val="22"/>
              </w:rPr>
              <w:t>地用途</w:t>
            </w:r>
          </w:p>
        </w:tc>
        <w:tc>
          <w:tcPr>
            <w:tcW w:w="8362" w:type="dxa"/>
            <w:gridSpan w:val="8"/>
            <w:tcBorders>
              <w:top w:val="single" w:color="auto" w:sz="4" w:space="0"/>
              <w:left w:val="single" w:color="auto" w:sz="4" w:space="0"/>
            </w:tcBorders>
            <w:shd w:val="clear" w:color="auto" w:fill="FFFFFF"/>
            <w:vAlign w:val="bottom"/>
          </w:tcPr>
          <w:p>
            <w:pPr>
              <w:pStyle w:val="34"/>
              <w:spacing w:line="324" w:lineRule="exact"/>
              <w:ind w:firstLine="0"/>
              <w:jc w:val="center"/>
              <w:rPr>
                <w:color w:val="000000"/>
                <w:sz w:val="22"/>
                <w:szCs w:val="22"/>
              </w:rPr>
            </w:pPr>
            <w:r>
              <w:rPr>
                <w:color w:val="00000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FFFFFF"/>
          </w:tcPr>
          <w:p>
            <w:pPr>
              <w:pStyle w:val="34"/>
              <w:spacing w:line="324" w:lineRule="exact"/>
              <w:ind w:firstLine="0"/>
              <w:jc w:val="center"/>
              <w:rPr>
                <w:color w:val="000000"/>
                <w:sz w:val="22"/>
                <w:szCs w:val="22"/>
                <w:lang w:val="en-US" w:eastAsia="zh-CN"/>
              </w:rPr>
            </w:pPr>
          </w:p>
          <w:p>
            <w:pPr>
              <w:pStyle w:val="34"/>
              <w:spacing w:line="324" w:lineRule="exact"/>
              <w:ind w:firstLine="0"/>
              <w:jc w:val="center"/>
              <w:rPr>
                <w:color w:val="000000"/>
                <w:sz w:val="22"/>
                <w:szCs w:val="22"/>
                <w:lang w:val="en-US" w:eastAsia="zh-CN"/>
              </w:rPr>
            </w:pP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出让</w:t>
            </w: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年限</w:t>
            </w:r>
            <w:r>
              <w:rPr>
                <w:rFonts w:hint="eastAsia"/>
                <w:color w:val="000000"/>
                <w:sz w:val="22"/>
                <w:szCs w:val="22"/>
                <w:lang w:eastAsia="zh-CN"/>
              </w:rPr>
              <w:t>（</w:t>
            </w:r>
            <w:r>
              <w:rPr>
                <w:rFonts w:hint="eastAsia"/>
                <w:color w:val="00000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FFFFFF"/>
          </w:tcPr>
          <w:p>
            <w:pPr>
              <w:pStyle w:val="34"/>
              <w:spacing w:line="324" w:lineRule="exact"/>
              <w:ind w:firstLine="0"/>
              <w:jc w:val="center"/>
              <w:rPr>
                <w:color w:val="000000"/>
                <w:sz w:val="22"/>
                <w:szCs w:val="22"/>
                <w:lang w:val="en-US" w:eastAsia="zh-CN"/>
              </w:rPr>
            </w:pPr>
          </w:p>
          <w:p>
            <w:pPr>
              <w:pStyle w:val="34"/>
              <w:spacing w:line="324" w:lineRule="exact"/>
              <w:ind w:firstLine="0"/>
              <w:jc w:val="center"/>
              <w:rPr>
                <w:color w:val="000000"/>
                <w:sz w:val="22"/>
                <w:szCs w:val="22"/>
                <w:lang w:val="en-US" w:eastAsia="zh-CN"/>
              </w:rPr>
            </w:pP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挂牌</w:t>
            </w: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FFFFFF"/>
          </w:tcPr>
          <w:p>
            <w:pPr>
              <w:pStyle w:val="34"/>
              <w:spacing w:line="324" w:lineRule="exact"/>
              <w:ind w:firstLine="0"/>
              <w:jc w:val="center"/>
              <w:rPr>
                <w:color w:val="000000"/>
                <w:sz w:val="22"/>
                <w:szCs w:val="22"/>
                <w:lang w:val="en-US" w:eastAsia="zh-CN"/>
              </w:rPr>
            </w:pPr>
          </w:p>
          <w:p>
            <w:pPr>
              <w:pStyle w:val="34"/>
              <w:spacing w:line="324" w:lineRule="exact"/>
              <w:ind w:firstLine="0"/>
              <w:jc w:val="center"/>
              <w:rPr>
                <w:color w:val="000000"/>
                <w:sz w:val="22"/>
                <w:szCs w:val="22"/>
                <w:lang w:val="en-US" w:eastAsia="zh-CN"/>
              </w:rPr>
            </w:pP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加价</w:t>
            </w: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幅度</w:t>
            </w: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FFFFFF"/>
          </w:tcPr>
          <w:p>
            <w:pPr>
              <w:pStyle w:val="34"/>
              <w:spacing w:line="324" w:lineRule="exact"/>
              <w:ind w:firstLine="0"/>
              <w:jc w:val="center"/>
              <w:rPr>
                <w:color w:val="000000"/>
                <w:sz w:val="22"/>
                <w:szCs w:val="22"/>
                <w:lang w:val="en-US" w:eastAsia="zh-CN"/>
              </w:rPr>
            </w:pPr>
          </w:p>
          <w:p>
            <w:pPr>
              <w:pStyle w:val="34"/>
              <w:spacing w:line="324" w:lineRule="exact"/>
              <w:ind w:firstLine="0"/>
              <w:jc w:val="center"/>
              <w:rPr>
                <w:color w:val="000000"/>
                <w:sz w:val="22"/>
                <w:szCs w:val="22"/>
                <w:lang w:val="en-US" w:eastAsia="zh-CN"/>
              </w:rPr>
            </w:pP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竞买</w:t>
            </w: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保证金</w:t>
            </w: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（万元）</w:t>
            </w:r>
          </w:p>
          <w:p>
            <w:pPr>
              <w:pStyle w:val="34"/>
              <w:spacing w:line="324" w:lineRule="exact"/>
              <w:ind w:firstLine="0"/>
              <w:jc w:val="center"/>
              <w:rPr>
                <w:color w:val="00000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FFFFFF"/>
            <w:vAlign w:val="center"/>
          </w:tcPr>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548" w:type="dxa"/>
            <w:vMerge w:val="continue"/>
            <w:tcBorders>
              <w:left w:val="single" w:color="auto" w:sz="4" w:space="0"/>
            </w:tcBorders>
            <w:shd w:val="clear" w:color="auto" w:fill="FFFFFF"/>
            <w:vAlign w:val="center"/>
          </w:tcPr>
          <w:p>
            <w:pPr>
              <w:jc w:val="center"/>
            </w:pPr>
          </w:p>
        </w:tc>
        <w:tc>
          <w:tcPr>
            <w:tcW w:w="724" w:type="dxa"/>
            <w:vMerge w:val="continue"/>
            <w:tcBorders>
              <w:left w:val="single" w:color="auto" w:sz="4" w:space="0"/>
            </w:tcBorders>
            <w:shd w:val="clear" w:color="auto" w:fill="FFFFFF"/>
            <w:vAlign w:val="center"/>
          </w:tcPr>
          <w:p>
            <w:pPr>
              <w:jc w:val="center"/>
            </w:pPr>
          </w:p>
        </w:tc>
        <w:tc>
          <w:tcPr>
            <w:tcW w:w="1140" w:type="dxa"/>
            <w:vMerge w:val="continue"/>
            <w:tcBorders>
              <w:left w:val="single" w:color="auto" w:sz="4" w:space="0"/>
            </w:tcBorders>
            <w:shd w:val="clear" w:color="auto" w:fill="FFFFFF"/>
            <w:vAlign w:val="center"/>
          </w:tcPr>
          <w:p>
            <w:pPr>
              <w:jc w:val="center"/>
            </w:pPr>
          </w:p>
        </w:tc>
        <w:tc>
          <w:tcPr>
            <w:tcW w:w="516" w:type="dxa"/>
            <w:vMerge w:val="continue"/>
            <w:tcBorders>
              <w:left w:val="single" w:color="auto" w:sz="4" w:space="0"/>
            </w:tcBorders>
            <w:shd w:val="clear" w:color="auto" w:fill="FFFFFF"/>
            <w:vAlign w:val="center"/>
          </w:tcPr>
          <w:p>
            <w:pPr>
              <w:jc w:val="center"/>
            </w:pPr>
          </w:p>
        </w:tc>
        <w:tc>
          <w:tcPr>
            <w:tcW w:w="1116" w:type="dxa"/>
            <w:tcBorders>
              <w:top w:val="single" w:color="auto" w:sz="4" w:space="0"/>
              <w:left w:val="single" w:color="auto" w:sz="4" w:space="0"/>
            </w:tcBorders>
            <w:shd w:val="clear" w:color="auto" w:fill="FFFFFF"/>
            <w:vAlign w:val="center"/>
          </w:tcPr>
          <w:p>
            <w:pPr>
              <w:pStyle w:val="34"/>
              <w:spacing w:line="324" w:lineRule="exact"/>
              <w:ind w:firstLine="0"/>
              <w:jc w:val="center"/>
              <w:rPr>
                <w:color w:val="000000"/>
                <w:sz w:val="22"/>
                <w:szCs w:val="22"/>
                <w:lang w:val="en-US" w:eastAsia="zh-CN"/>
              </w:rPr>
            </w:pPr>
            <w:r>
              <w:rPr>
                <w:color w:val="000000"/>
                <w:sz w:val="22"/>
                <w:szCs w:val="22"/>
              </w:rPr>
              <w:t>计算指标用地面积</w:t>
            </w:r>
            <w:r>
              <w:rPr>
                <w:rFonts w:hint="eastAsia"/>
                <w:color w:val="000000"/>
                <w:sz w:val="22"/>
                <w:szCs w:val="22"/>
                <w:lang w:eastAsia="zh-CN"/>
              </w:rPr>
              <w:t>（</w:t>
            </w:r>
            <w:r>
              <w:rPr>
                <w:rFonts w:hint="eastAsia"/>
                <w:color w:val="000000"/>
                <w:sz w:val="22"/>
                <w:szCs w:val="22"/>
                <w:lang w:val="en-US" w:eastAsia="zh-CN"/>
              </w:rPr>
              <w:t>㎡）</w:t>
            </w:r>
          </w:p>
        </w:tc>
        <w:tc>
          <w:tcPr>
            <w:tcW w:w="936" w:type="dxa"/>
            <w:tcBorders>
              <w:top w:val="single" w:color="auto" w:sz="4" w:space="0"/>
              <w:left w:val="single" w:color="auto" w:sz="4" w:space="0"/>
            </w:tcBorders>
            <w:shd w:val="clear" w:color="auto" w:fill="FFFFFF"/>
            <w:vAlign w:val="center"/>
          </w:tcPr>
          <w:p>
            <w:pPr>
              <w:pStyle w:val="34"/>
              <w:spacing w:line="324" w:lineRule="exact"/>
              <w:ind w:firstLine="0"/>
              <w:jc w:val="center"/>
              <w:rPr>
                <w:color w:val="000000"/>
                <w:sz w:val="22"/>
                <w:szCs w:val="22"/>
              </w:rPr>
            </w:pPr>
            <w:r>
              <w:rPr>
                <w:color w:val="000000"/>
                <w:sz w:val="22"/>
                <w:szCs w:val="22"/>
              </w:rPr>
              <w:t>宗地使用权面积</w:t>
            </w:r>
            <w:r>
              <w:rPr>
                <w:rFonts w:hint="eastAsia"/>
                <w:color w:val="000000"/>
                <w:sz w:val="22"/>
                <w:szCs w:val="22"/>
                <w:lang w:eastAsia="zh-CN"/>
              </w:rPr>
              <w:t>（</w:t>
            </w:r>
            <w:r>
              <w:rPr>
                <w:rFonts w:hint="eastAsia"/>
                <w:color w:val="000000"/>
                <w:sz w:val="22"/>
                <w:szCs w:val="22"/>
                <w:lang w:val="en-US" w:eastAsia="zh-CN"/>
              </w:rPr>
              <w:t>㎡）</w:t>
            </w:r>
          </w:p>
        </w:tc>
        <w:tc>
          <w:tcPr>
            <w:tcW w:w="708" w:type="dxa"/>
            <w:tcBorders>
              <w:top w:val="single" w:color="auto" w:sz="4" w:space="0"/>
              <w:left w:val="single" w:color="auto" w:sz="4" w:space="0"/>
            </w:tcBorders>
            <w:shd w:val="clear" w:color="auto" w:fill="FFFFFF"/>
          </w:tcPr>
          <w:p>
            <w:pPr>
              <w:pStyle w:val="34"/>
              <w:spacing w:line="260" w:lineRule="exact"/>
              <w:ind w:firstLine="0"/>
              <w:jc w:val="center"/>
              <w:rPr>
                <w:color w:val="000000"/>
                <w:sz w:val="22"/>
                <w:szCs w:val="22"/>
                <w:lang w:val="en-US" w:eastAsia="zh-CN"/>
              </w:rPr>
            </w:pPr>
            <w:r>
              <w:rPr>
                <w:color w:val="000000"/>
                <w:sz w:val="22"/>
                <w:szCs w:val="22"/>
                <w:lang w:val="en-US" w:eastAsia="zh-CN"/>
              </w:rPr>
              <w:t>建</w:t>
            </w:r>
          </w:p>
          <w:p>
            <w:pPr>
              <w:pStyle w:val="34"/>
              <w:spacing w:line="260" w:lineRule="exact"/>
              <w:ind w:firstLine="0"/>
              <w:jc w:val="center"/>
              <w:rPr>
                <w:color w:val="000000"/>
                <w:sz w:val="22"/>
                <w:szCs w:val="22"/>
                <w:lang w:val="en-US" w:eastAsia="zh-CN"/>
              </w:rPr>
            </w:pPr>
            <w:r>
              <w:rPr>
                <w:color w:val="000000"/>
                <w:sz w:val="22"/>
                <w:szCs w:val="22"/>
                <w:lang w:val="en-US" w:eastAsia="zh-CN"/>
              </w:rPr>
              <w:t>筑</w:t>
            </w:r>
          </w:p>
          <w:p>
            <w:pPr>
              <w:pStyle w:val="34"/>
              <w:spacing w:line="260" w:lineRule="exact"/>
              <w:ind w:firstLine="0"/>
              <w:jc w:val="center"/>
              <w:rPr>
                <w:color w:val="000000"/>
                <w:sz w:val="22"/>
                <w:szCs w:val="22"/>
                <w:lang w:val="en-US" w:eastAsia="zh-CN"/>
              </w:rPr>
            </w:pPr>
            <w:r>
              <w:rPr>
                <w:rFonts w:hint="eastAsia"/>
                <w:color w:val="000000"/>
                <w:sz w:val="22"/>
                <w:szCs w:val="22"/>
                <w:lang w:val="en-US" w:eastAsia="zh-CN"/>
              </w:rPr>
              <w:t>密</w:t>
            </w:r>
          </w:p>
          <w:p>
            <w:pPr>
              <w:pStyle w:val="34"/>
              <w:spacing w:line="260" w:lineRule="exact"/>
              <w:ind w:firstLine="0"/>
              <w:jc w:val="center"/>
              <w:rPr>
                <w:color w:val="000000"/>
                <w:sz w:val="22"/>
                <w:szCs w:val="22"/>
                <w:lang w:val="en-US" w:eastAsia="zh-CN"/>
              </w:rPr>
            </w:pPr>
            <w:r>
              <w:rPr>
                <w:rFonts w:hint="eastAsia"/>
                <w:color w:val="000000"/>
                <w:sz w:val="22"/>
                <w:szCs w:val="22"/>
                <w:lang w:val="en-US" w:eastAsia="zh-CN"/>
              </w:rPr>
              <w:t>度</w:t>
            </w:r>
          </w:p>
          <w:p>
            <w:pPr>
              <w:pStyle w:val="34"/>
              <w:spacing w:line="260" w:lineRule="exact"/>
              <w:ind w:firstLine="0"/>
              <w:jc w:val="center"/>
              <w:rPr>
                <w:color w:val="000000"/>
                <w:sz w:val="22"/>
                <w:szCs w:val="22"/>
                <w:lang w:val="en-US"/>
              </w:rPr>
            </w:pPr>
            <w:r>
              <w:rPr>
                <w:rFonts w:hint="eastAsia"/>
                <w:color w:val="000000"/>
                <w:sz w:val="22"/>
                <w:szCs w:val="22"/>
                <w:lang w:val="en-US" w:eastAsia="zh-CN"/>
              </w:rPr>
              <w:t>（%）</w:t>
            </w:r>
          </w:p>
        </w:tc>
        <w:tc>
          <w:tcPr>
            <w:tcW w:w="852" w:type="dxa"/>
            <w:tcBorders>
              <w:top w:val="single" w:color="auto" w:sz="4" w:space="0"/>
              <w:left w:val="single" w:color="auto" w:sz="4" w:space="0"/>
            </w:tcBorders>
            <w:shd w:val="clear" w:color="auto" w:fill="FFFFFF"/>
          </w:tcPr>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容</w:t>
            </w:r>
          </w:p>
          <w:p>
            <w:pPr>
              <w:pStyle w:val="34"/>
              <w:spacing w:line="324" w:lineRule="exact"/>
              <w:ind w:firstLine="0"/>
              <w:jc w:val="center"/>
              <w:rPr>
                <w:color w:val="000000"/>
                <w:sz w:val="22"/>
                <w:szCs w:val="22"/>
              </w:rPr>
            </w:pPr>
            <w:r>
              <w:rPr>
                <w:color w:val="000000"/>
                <w:sz w:val="22"/>
                <w:szCs w:val="22"/>
              </w:rPr>
              <w:t>积</w:t>
            </w:r>
          </w:p>
          <w:p>
            <w:pPr>
              <w:pStyle w:val="34"/>
              <w:spacing w:line="324" w:lineRule="exact"/>
              <w:ind w:firstLine="0"/>
              <w:jc w:val="center"/>
              <w:rPr>
                <w:rFonts w:hint="default"/>
                <w:color w:val="000000"/>
                <w:sz w:val="22"/>
                <w:szCs w:val="22"/>
                <w:lang w:val="en-US" w:eastAsia="zh-CN"/>
              </w:rPr>
            </w:pPr>
            <w:r>
              <w:rPr>
                <w:rFonts w:hint="eastAsia"/>
                <w:color w:val="000000"/>
                <w:sz w:val="22"/>
                <w:szCs w:val="22"/>
                <w:lang w:val="en-US" w:eastAsia="zh-CN"/>
              </w:rPr>
              <w:t>率</w:t>
            </w:r>
          </w:p>
          <w:p>
            <w:pPr>
              <w:pStyle w:val="34"/>
              <w:spacing w:line="324" w:lineRule="exact"/>
              <w:ind w:firstLine="0"/>
              <w:jc w:val="center"/>
              <w:rPr>
                <w:rFonts w:hint="eastAsia" w:eastAsia="宋体"/>
                <w:color w:val="000000"/>
                <w:sz w:val="22"/>
                <w:szCs w:val="22"/>
                <w:lang w:val="en-US" w:eastAsia="zh-CN"/>
              </w:rPr>
            </w:pPr>
            <w:r>
              <w:rPr>
                <w:rFonts w:hint="eastAsia"/>
                <w:color w:val="000000"/>
                <w:sz w:val="22"/>
                <w:szCs w:val="22"/>
                <w:lang w:val="en-US" w:eastAsia="zh-CN"/>
              </w:rPr>
              <w:t>R</w:t>
            </w:r>
          </w:p>
        </w:tc>
        <w:tc>
          <w:tcPr>
            <w:tcW w:w="1740" w:type="dxa"/>
            <w:tcBorders>
              <w:top w:val="single" w:color="auto" w:sz="4" w:space="0"/>
              <w:left w:val="single" w:color="auto" w:sz="4" w:space="0"/>
            </w:tcBorders>
            <w:shd w:val="clear" w:color="auto" w:fill="FFFFFF"/>
            <w:vAlign w:val="center"/>
          </w:tcPr>
          <w:p>
            <w:pPr>
              <w:pStyle w:val="34"/>
              <w:spacing w:line="324" w:lineRule="exact"/>
              <w:ind w:firstLine="0"/>
              <w:jc w:val="center"/>
              <w:rPr>
                <w:rFonts w:hint="default" w:eastAsia="宋体"/>
                <w:color w:val="000000"/>
                <w:sz w:val="22"/>
                <w:szCs w:val="22"/>
                <w:lang w:val="en-US" w:eastAsia="zh-CN"/>
              </w:rPr>
            </w:pPr>
            <w:r>
              <w:rPr>
                <w:color w:val="000000"/>
                <w:sz w:val="22"/>
                <w:szCs w:val="22"/>
              </w:rPr>
              <w:t>计容积率建筑面积</w:t>
            </w:r>
            <w:r>
              <w:rPr>
                <w:rFonts w:hint="eastAsia"/>
                <w:color w:val="000000"/>
                <w:sz w:val="22"/>
                <w:szCs w:val="22"/>
                <w:lang w:val="en-US" w:eastAsia="zh-CN"/>
              </w:rPr>
              <w:t xml:space="preserve"> S</w:t>
            </w:r>
          </w:p>
          <w:p>
            <w:pPr>
              <w:pStyle w:val="34"/>
              <w:spacing w:line="324" w:lineRule="exact"/>
              <w:ind w:firstLine="0"/>
              <w:jc w:val="center"/>
              <w:rPr>
                <w:color w:val="000000"/>
                <w:sz w:val="22"/>
                <w:szCs w:val="22"/>
                <w:lang w:val="en-US" w:eastAsia="zh-CN"/>
              </w:rPr>
            </w:pPr>
            <w:r>
              <w:rPr>
                <w:rFonts w:hint="eastAsia"/>
                <w:color w:val="000000"/>
                <w:sz w:val="22"/>
                <w:szCs w:val="22"/>
                <w:lang w:eastAsia="zh-CN"/>
              </w:rPr>
              <w:t>（</w:t>
            </w:r>
            <w:r>
              <w:rPr>
                <w:rFonts w:hint="eastAsia"/>
                <w:color w:val="000000"/>
                <w:sz w:val="22"/>
                <w:szCs w:val="22"/>
                <w:lang w:val="en-US" w:eastAsia="zh-CN"/>
              </w:rPr>
              <w:t>㎡</w:t>
            </w:r>
            <w:bookmarkStart w:id="3" w:name="_GoBack"/>
            <w:bookmarkEnd w:id="3"/>
            <w:r>
              <w:rPr>
                <w:rFonts w:hint="eastAsia"/>
                <w:color w:val="000000"/>
                <w:sz w:val="22"/>
                <w:szCs w:val="22"/>
                <w:lang w:val="en-US" w:eastAsia="zh-CN"/>
              </w:rPr>
              <w:t>）</w:t>
            </w:r>
          </w:p>
        </w:tc>
        <w:tc>
          <w:tcPr>
            <w:tcW w:w="569" w:type="dxa"/>
            <w:tcBorders>
              <w:top w:val="single" w:color="auto" w:sz="4" w:space="0"/>
              <w:left w:val="single" w:color="auto" w:sz="4" w:space="0"/>
            </w:tcBorders>
            <w:shd w:val="clear" w:color="auto" w:fill="FFFFFF"/>
            <w:vAlign w:val="center"/>
          </w:tcPr>
          <w:p>
            <w:pPr>
              <w:pStyle w:val="34"/>
              <w:spacing w:line="324" w:lineRule="exact"/>
              <w:ind w:firstLine="0"/>
              <w:jc w:val="center"/>
              <w:rPr>
                <w:color w:val="000000"/>
                <w:sz w:val="22"/>
                <w:szCs w:val="22"/>
              </w:rPr>
            </w:pPr>
          </w:p>
          <w:p>
            <w:pPr>
              <w:pStyle w:val="34"/>
              <w:spacing w:line="324" w:lineRule="exact"/>
              <w:ind w:firstLine="0"/>
              <w:jc w:val="center"/>
              <w:rPr>
                <w:color w:val="000000"/>
                <w:sz w:val="22"/>
                <w:szCs w:val="22"/>
              </w:rPr>
            </w:pPr>
            <w:r>
              <w:rPr>
                <w:color w:val="000000"/>
                <w:sz w:val="22"/>
                <w:szCs w:val="22"/>
              </w:rPr>
              <w:t>绿地率</w:t>
            </w:r>
            <w:r>
              <w:rPr>
                <w:rFonts w:hint="eastAsia"/>
                <w:color w:val="000000"/>
                <w:sz w:val="22"/>
                <w:szCs w:val="22"/>
                <w:lang w:val="en-US" w:eastAsia="zh-CN"/>
              </w:rPr>
              <w:t>（%）</w:t>
            </w:r>
          </w:p>
        </w:tc>
        <w:tc>
          <w:tcPr>
            <w:tcW w:w="1794" w:type="dxa"/>
            <w:tcBorders>
              <w:top w:val="single" w:color="auto" w:sz="4" w:space="0"/>
              <w:left w:val="single" w:color="auto" w:sz="4" w:space="0"/>
            </w:tcBorders>
            <w:shd w:val="clear" w:color="auto" w:fill="FFFFFF"/>
          </w:tcPr>
          <w:p>
            <w:pPr>
              <w:pStyle w:val="34"/>
              <w:spacing w:line="324" w:lineRule="exact"/>
              <w:ind w:firstLine="0"/>
              <w:jc w:val="center"/>
              <w:rPr>
                <w:color w:val="000000"/>
                <w:sz w:val="22"/>
                <w:szCs w:val="22"/>
              </w:rPr>
            </w:pPr>
          </w:p>
          <w:p>
            <w:pPr>
              <w:pStyle w:val="34"/>
              <w:spacing w:line="324" w:lineRule="exact"/>
              <w:ind w:firstLine="0"/>
              <w:jc w:val="center"/>
              <w:rPr>
                <w:color w:val="000000"/>
                <w:sz w:val="22"/>
                <w:szCs w:val="22"/>
              </w:rPr>
            </w:pPr>
            <w:r>
              <w:rPr>
                <w:rFonts w:hint="eastAsia"/>
                <w:color w:val="000000"/>
                <w:sz w:val="22"/>
                <w:szCs w:val="22"/>
              </w:rPr>
              <w:t>机动车停车位配建要求</w:t>
            </w:r>
          </w:p>
        </w:tc>
        <w:tc>
          <w:tcPr>
            <w:tcW w:w="647" w:type="dxa"/>
            <w:tcBorders>
              <w:top w:val="single" w:color="auto" w:sz="4" w:space="0"/>
              <w:left w:val="single" w:color="auto" w:sz="4" w:space="0"/>
            </w:tcBorders>
            <w:shd w:val="clear" w:color="auto" w:fill="FFFFFF"/>
          </w:tcPr>
          <w:p>
            <w:pPr>
              <w:pStyle w:val="34"/>
              <w:spacing w:line="324" w:lineRule="exact"/>
              <w:ind w:firstLine="0"/>
              <w:jc w:val="center"/>
              <w:rPr>
                <w:color w:val="000000"/>
                <w:sz w:val="22"/>
                <w:szCs w:val="22"/>
                <w:lang w:val="en-US" w:eastAsia="zh-CN"/>
              </w:rPr>
            </w:pPr>
          </w:p>
          <w:p>
            <w:pPr>
              <w:pStyle w:val="34"/>
              <w:spacing w:line="324" w:lineRule="exact"/>
              <w:ind w:firstLine="0"/>
              <w:jc w:val="center"/>
              <w:rPr>
                <w:color w:val="000000"/>
                <w:sz w:val="22"/>
                <w:szCs w:val="22"/>
                <w:lang w:val="en-US" w:eastAsia="zh-CN"/>
              </w:rPr>
            </w:pPr>
          </w:p>
          <w:p>
            <w:pPr>
              <w:pStyle w:val="34"/>
              <w:spacing w:line="324" w:lineRule="exact"/>
              <w:ind w:firstLine="0"/>
              <w:jc w:val="center"/>
              <w:rPr>
                <w:color w:val="000000"/>
                <w:sz w:val="22"/>
                <w:szCs w:val="22"/>
                <w:lang w:val="en-US" w:eastAsia="zh-CN"/>
              </w:rPr>
            </w:pPr>
            <w:r>
              <w:rPr>
                <w:rFonts w:hint="eastAsia"/>
                <w:color w:val="000000"/>
                <w:sz w:val="22"/>
                <w:szCs w:val="22"/>
                <w:lang w:val="en-US" w:eastAsia="zh-CN"/>
              </w:rPr>
              <w:t>其他</w:t>
            </w:r>
          </w:p>
        </w:tc>
        <w:tc>
          <w:tcPr>
            <w:tcW w:w="698" w:type="dxa"/>
            <w:vMerge w:val="continue"/>
            <w:tcBorders>
              <w:left w:val="single" w:color="auto" w:sz="4" w:space="0"/>
              <w:right w:val="single" w:color="auto" w:sz="4" w:space="0"/>
            </w:tcBorders>
            <w:shd w:val="clear" w:color="auto" w:fill="FFFFFF"/>
            <w:textDirection w:val="tbRlV"/>
          </w:tcPr>
          <w:p>
            <w:pPr>
              <w:pStyle w:val="35"/>
              <w:spacing w:before="340" w:line="240" w:lineRule="auto"/>
              <w:rPr>
                <w:lang w:val="en-US" w:eastAsia="zh-CN"/>
              </w:rPr>
            </w:pPr>
          </w:p>
        </w:tc>
        <w:tc>
          <w:tcPr>
            <w:tcW w:w="864" w:type="dxa"/>
            <w:vMerge w:val="continue"/>
            <w:tcBorders>
              <w:left w:val="single" w:color="auto" w:sz="4" w:space="0"/>
              <w:right w:val="single" w:color="auto" w:sz="4" w:space="0"/>
            </w:tcBorders>
            <w:shd w:val="clear" w:color="auto" w:fill="FFFFFF"/>
            <w:textDirection w:val="tbRlV"/>
          </w:tcPr>
          <w:p>
            <w:pPr>
              <w:pStyle w:val="35"/>
              <w:spacing w:before="340" w:line="240" w:lineRule="auto"/>
              <w:rPr>
                <w:color w:val="000000"/>
              </w:rPr>
            </w:pPr>
          </w:p>
        </w:tc>
        <w:tc>
          <w:tcPr>
            <w:tcW w:w="840" w:type="dxa"/>
            <w:vMerge w:val="continue"/>
            <w:tcBorders>
              <w:left w:val="single" w:color="auto" w:sz="4" w:space="0"/>
              <w:right w:val="single" w:color="auto" w:sz="4" w:space="0"/>
            </w:tcBorders>
            <w:shd w:val="clear" w:color="auto" w:fill="FFFFFF"/>
            <w:textDirection w:val="tbRlV"/>
          </w:tcPr>
          <w:p>
            <w:pPr>
              <w:pStyle w:val="35"/>
              <w:spacing w:before="340" w:line="240" w:lineRule="auto"/>
              <w:rPr>
                <w:color w:val="000000"/>
              </w:rPr>
            </w:pPr>
          </w:p>
        </w:tc>
        <w:tc>
          <w:tcPr>
            <w:tcW w:w="1056" w:type="dxa"/>
            <w:vMerge w:val="continue"/>
            <w:tcBorders>
              <w:left w:val="single" w:color="auto" w:sz="4" w:space="0"/>
              <w:right w:val="single" w:color="auto" w:sz="4" w:space="0"/>
            </w:tcBorders>
            <w:shd w:val="clear" w:color="auto" w:fill="FFFFFF"/>
            <w:textDirection w:val="tbRlV"/>
          </w:tcPr>
          <w:p>
            <w:pPr>
              <w:pStyle w:val="35"/>
              <w:spacing w:before="340" w:line="240" w:lineRule="auto"/>
              <w:rPr>
                <w:color w:val="000000"/>
              </w:rPr>
            </w:pPr>
          </w:p>
        </w:tc>
        <w:tc>
          <w:tcPr>
            <w:tcW w:w="864" w:type="dxa"/>
            <w:vMerge w:val="continue"/>
            <w:tcBorders>
              <w:left w:val="single" w:color="auto" w:sz="4" w:space="0"/>
              <w:right w:val="single" w:color="auto" w:sz="4" w:space="0"/>
            </w:tcBorders>
            <w:shd w:val="clear" w:color="auto" w:fill="FFFFFF"/>
            <w:textDirection w:val="tbRlV"/>
          </w:tcPr>
          <w:p>
            <w:pPr>
              <w:pStyle w:val="35"/>
              <w:spacing w:before="340" w:line="240" w:lineRule="auto"/>
              <w:rPr>
                <w:color w:val="000000"/>
              </w:rPr>
            </w:pPr>
          </w:p>
        </w:tc>
      </w:tr>
      <w:tr>
        <w:tblPrEx>
          <w:tblCellMar>
            <w:top w:w="0" w:type="dxa"/>
            <w:left w:w="10" w:type="dxa"/>
            <w:bottom w:w="0" w:type="dxa"/>
            <w:right w:w="10" w:type="dxa"/>
          </w:tblCellMar>
        </w:tblPrEx>
        <w:trPr>
          <w:trHeight w:val="2835" w:hRule="exact"/>
          <w:jc w:val="center"/>
        </w:trPr>
        <w:tc>
          <w:tcPr>
            <w:tcW w:w="548" w:type="dxa"/>
            <w:tcBorders>
              <w:top w:val="single" w:color="auto" w:sz="4" w:space="0"/>
              <w:left w:val="single" w:color="auto" w:sz="4" w:space="0"/>
              <w:bottom w:val="single" w:color="auto" w:sz="4" w:space="0"/>
            </w:tcBorders>
            <w:shd w:val="clear" w:color="auto" w:fill="FFFFFF"/>
            <w:vAlign w:val="center"/>
          </w:tcPr>
          <w:p>
            <w:pPr>
              <w:jc w:val="center"/>
              <w:rPr>
                <w:sz w:val="10"/>
                <w:szCs w:val="10"/>
              </w:rPr>
            </w:pPr>
            <w:r>
              <w:rPr>
                <w:rFonts w:hint="eastAsia" w:eastAsia="Times New Roman"/>
                <w:sz w:val="20"/>
                <w:szCs w:val="20"/>
              </w:rPr>
              <w:t>惠仲土（用地）挂[2022]012号</w:t>
            </w:r>
          </w:p>
        </w:tc>
        <w:tc>
          <w:tcPr>
            <w:tcW w:w="724"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惠州仲恺高新区沥林镇</w:t>
            </w:r>
          </w:p>
        </w:tc>
        <w:tc>
          <w:tcPr>
            <w:tcW w:w="1140"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ZKE-048-25</w:t>
            </w:r>
          </w:p>
        </w:tc>
        <w:tc>
          <w:tcPr>
            <w:tcW w:w="516"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住宅及商服用地</w:t>
            </w:r>
          </w:p>
        </w:tc>
        <w:tc>
          <w:tcPr>
            <w:tcW w:w="1116"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eastAsia="仿宋_GB2312"/>
                <w:bCs/>
                <w:szCs w:val="32"/>
              </w:rPr>
              <w:t>43727</w:t>
            </w:r>
          </w:p>
        </w:tc>
        <w:tc>
          <w:tcPr>
            <w:tcW w:w="936"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eastAsia="仿宋_GB2312"/>
                <w:bCs/>
                <w:szCs w:val="32"/>
              </w:rPr>
              <w:t>35214</w:t>
            </w:r>
          </w:p>
        </w:tc>
        <w:tc>
          <w:tcPr>
            <w:tcW w:w="708"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≤22</w:t>
            </w:r>
          </w:p>
        </w:tc>
        <w:tc>
          <w:tcPr>
            <w:tcW w:w="852"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eastAsia="Times New Roman"/>
                <w:sz w:val="20"/>
                <w:szCs w:val="20"/>
              </w:rPr>
              <w:t>≤</w:t>
            </w:r>
            <w:r>
              <w:rPr>
                <w:rFonts w:hint="eastAsia" w:eastAsia="Times New Roman"/>
                <w:sz w:val="20"/>
                <w:szCs w:val="20"/>
              </w:rPr>
              <w:t>2.8</w:t>
            </w:r>
          </w:p>
        </w:tc>
        <w:tc>
          <w:tcPr>
            <w:tcW w:w="1740"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eastAsia="Times New Roman"/>
                <w:sz w:val="20"/>
                <w:szCs w:val="20"/>
              </w:rPr>
              <w:t>≤122436（商业建筑面积≤12243㎡）</w:t>
            </w:r>
            <w:r>
              <w:rPr>
                <w:rFonts w:hint="eastAsia"/>
                <w:sz w:val="20"/>
                <w:szCs w:val="20"/>
                <w:lang w:val="en-US" w:eastAsia="zh-CN"/>
              </w:rPr>
              <w:t xml:space="preserve"> </w:t>
            </w:r>
            <w:r>
              <w:rPr>
                <w:rFonts w:eastAsia="Times New Roman"/>
                <w:sz w:val="20"/>
                <w:szCs w:val="20"/>
              </w:rPr>
              <w:t>兼容的商业用地不能建设服务型公寓。</w:t>
            </w:r>
          </w:p>
        </w:tc>
        <w:tc>
          <w:tcPr>
            <w:tcW w:w="569"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≥35</w:t>
            </w:r>
          </w:p>
        </w:tc>
        <w:tc>
          <w:tcPr>
            <w:tcW w:w="1794"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按每100㎡计容积率建筑面积≥1.0个配置，地面停车数占总停车数的比例≤10%。配建停车位应按要求建设充电基础设施或预留建设安装条件。</w:t>
            </w:r>
          </w:p>
        </w:tc>
        <w:tc>
          <w:tcPr>
            <w:tcW w:w="647" w:type="dxa"/>
            <w:tcBorders>
              <w:top w:val="single" w:color="auto" w:sz="4" w:space="0"/>
              <w:left w:val="single" w:color="auto" w:sz="4" w:space="0"/>
              <w:bottom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w:t>
            </w: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住宅</w:t>
            </w:r>
          </w:p>
          <w:p>
            <w:pPr>
              <w:jc w:val="center"/>
              <w:rPr>
                <w:rFonts w:eastAsia="Times New Roman"/>
                <w:sz w:val="20"/>
                <w:szCs w:val="20"/>
              </w:rPr>
            </w:pPr>
            <w:r>
              <w:rPr>
                <w:rFonts w:hint="eastAsia" w:eastAsia="Times New Roman"/>
                <w:sz w:val="20"/>
                <w:szCs w:val="20"/>
              </w:rPr>
              <w:t>70年</w:t>
            </w:r>
          </w:p>
          <w:p>
            <w:pPr>
              <w:jc w:val="center"/>
              <w:rPr>
                <w:rFonts w:eastAsia="Times New Roman"/>
                <w:sz w:val="20"/>
                <w:szCs w:val="20"/>
              </w:rPr>
            </w:pPr>
            <w:r>
              <w:rPr>
                <w:rFonts w:hint="eastAsia" w:eastAsia="Times New Roman"/>
                <w:sz w:val="20"/>
                <w:szCs w:val="20"/>
              </w:rPr>
              <w:t>商服</w:t>
            </w:r>
          </w:p>
          <w:p>
            <w:pPr>
              <w:jc w:val="center"/>
              <w:rPr>
                <w:rFonts w:eastAsia="Times New Roman"/>
                <w:sz w:val="20"/>
                <w:szCs w:val="20"/>
              </w:rPr>
            </w:pPr>
            <w:r>
              <w:rPr>
                <w:rFonts w:hint="eastAsia" w:eastAsia="Times New Roman"/>
                <w:sz w:val="20"/>
                <w:szCs w:val="20"/>
              </w:rPr>
              <w:t>40年</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41888</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500</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Times New Roman"/>
                <w:sz w:val="20"/>
                <w:szCs w:val="20"/>
              </w:rPr>
            </w:pPr>
            <w:r>
              <w:rPr>
                <w:rFonts w:eastAsia="仿宋_GB2312"/>
                <w:bCs/>
                <w:szCs w:val="32"/>
              </w:rPr>
              <w:t>20944</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Times New Roman"/>
                <w:sz w:val="20"/>
                <w:szCs w:val="20"/>
              </w:rPr>
            </w:pPr>
            <w:r>
              <w:rPr>
                <w:rFonts w:hint="eastAsia" w:eastAsia="Times New Roman"/>
                <w:sz w:val="20"/>
                <w:szCs w:val="20"/>
              </w:rPr>
              <w:t>2022年12月</w:t>
            </w:r>
            <w:r>
              <w:rPr>
                <w:rFonts w:hint="eastAsia"/>
                <w:sz w:val="20"/>
                <w:szCs w:val="20"/>
                <w:lang w:val="en-US" w:eastAsia="zh-CN"/>
              </w:rPr>
              <w:t>21</w:t>
            </w:r>
            <w:r>
              <w:rPr>
                <w:rFonts w:hint="eastAsia" w:eastAsia="Times New Roman"/>
                <w:sz w:val="20"/>
                <w:szCs w:val="20"/>
              </w:rPr>
              <w:t>日9时</w:t>
            </w:r>
          </w:p>
        </w:tc>
      </w:tr>
    </w:tbl>
    <w:p>
      <w:pPr>
        <w:pStyle w:val="4"/>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0BB3AC91-581A-47AA-AE9D-968BB6F83ECF}"/>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方正小标宋简体">
    <w:panose1 w:val="02000000000000000000"/>
    <w:charset w:val="86"/>
    <w:family w:val="auto"/>
    <w:pitch w:val="default"/>
    <w:sig w:usb0="00000000" w:usb1="00000000" w:usb2="00000000" w:usb3="00000000" w:csb0="00000000" w:csb1="00000000"/>
    <w:embedRegular r:id="rId2" w:fontKey="{5CF33404-BDCE-4D92-A891-04A228437F55}"/>
  </w:font>
  <w:font w:name="方正小标宋_GBK">
    <w:panose1 w:val="03000509000000000000"/>
    <w:charset w:val="86"/>
    <w:family w:val="auto"/>
    <w:pitch w:val="default"/>
    <w:sig w:usb0="00000001" w:usb1="080E0000" w:usb2="00000000" w:usb3="00000000" w:csb0="00040000" w:csb1="00000000"/>
    <w:embedRegular r:id="rId3" w:fontKey="{F581FF91-A8E1-4211-96BA-DB4E738CE4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1216660</wp:posOffset>
              </wp:positionH>
              <wp:positionV relativeFrom="page">
                <wp:posOffset>10060305</wp:posOffset>
              </wp:positionV>
              <wp:extent cx="420370"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420370" cy="82550"/>
                      </a:xfrm>
                      <a:prstGeom prst="rect">
                        <a:avLst/>
                      </a:prstGeom>
                      <a:noFill/>
                    </wps:spPr>
                    <wps:txbx>
                      <w:txbxContent>
                        <w:p>
                          <w:pPr>
                            <w:pStyle w:val="36"/>
                            <w:jc w:val="left"/>
                          </w:pPr>
                          <w:r>
                            <w:rPr>
                              <w:rFonts w:eastAsia="Times New Roman"/>
                              <w:color w:val="000000"/>
                              <w:lang w:val="en-US" w:eastAsia="en-US" w:bidi="en-US"/>
                            </w:rPr>
                            <w:t>-</w:t>
                          </w:r>
                          <w:r>
                            <w:rPr>
                              <w:rFonts w:eastAsia="Times New Roman"/>
                              <w:color w:val="000000"/>
                            </w:rPr>
                            <w:t>20</w:t>
                          </w:r>
                          <w:r>
                            <w:rPr>
                              <w:rFonts w:eastAsia="Times New Roman"/>
                              <w:color w:val="000000"/>
                              <w:lang w:val="en-US" w:eastAsia="en-US" w:bidi="en-US"/>
                            </w:rPr>
                            <w:t>—</w:t>
                          </w:r>
                        </w:p>
                      </w:txbxContent>
                    </wps:txbx>
                    <wps:bodyPr wrap="none" lIns="0" tIns="0" rIns="0" bIns="0">
                      <a:spAutoFit/>
                    </wps:bodyPr>
                  </wps:wsp>
                </a:graphicData>
              </a:graphic>
            </wp:anchor>
          </w:drawing>
        </mc:Choice>
        <mc:Fallback>
          <w:pict>
            <v:shape id="Shape 54" o:spid="_x0000_s1026" o:spt="202" type="#_x0000_t202" style="position:absolute;left:0pt;margin-left:95.8pt;margin-top:792.15pt;height:6.5pt;width:33.1pt;mso-position-horizontal-relative:page;mso-position-vertical-relative:page;mso-wrap-style:none;z-index:-251656192;mso-width-relative:page;mso-height-relative:page;" filled="f" stroked="f" coordsize="21600,21600" o:gfxdata="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cBtytkAAAANAQAADwAAAAAAAAABACAAAAAiAAAAZHJzL2Rv&#10;d25yZXYueG1sUEsBAhQAFAAAAAgAh07iQElhv8yOAQAAIgMAAA4AAAAAAAAAAQAgAAAAKAEAAGRy&#10;cy9lMm9Eb2MueG1sUEsFBgAAAAAGAAYAWQEAACgFAAAAAA==&#10;">
              <v:fill on="f" focussize="0,0"/>
              <v:stroke on="f"/>
              <v:imagedata o:title=""/>
              <o:lock v:ext="edit" aspectratio="f"/>
              <v:textbox inset="0mm,0mm,0mm,0mm" style="mso-fit-shape-to-text:t;">
                <w:txbxContent>
                  <w:p>
                    <w:pPr>
                      <w:pStyle w:val="36"/>
                      <w:jc w:val="left"/>
                    </w:pPr>
                    <w:r>
                      <w:rPr>
                        <w:rFonts w:eastAsia="Times New Roman"/>
                        <w:color w:val="000000"/>
                        <w:lang w:val="en-US" w:eastAsia="en-US" w:bidi="en-US"/>
                      </w:rPr>
                      <w:t>-</w:t>
                    </w:r>
                    <w:r>
                      <w:rPr>
                        <w:rFonts w:eastAsia="Times New Roman"/>
                        <w:color w:val="000000"/>
                      </w:rPr>
                      <w:t>20</w:t>
                    </w:r>
                    <w:r>
                      <w:rPr>
                        <w:rFonts w:eastAsia="Times New Roman"/>
                        <w:color w:val="00000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WVkOGYwOWJhZGY2OWQxNmU0OTIzZTVhMGUzYjAifQ=="/>
  </w:docVars>
  <w:rsids>
    <w:rsidRoot w:val="006F43B4"/>
    <w:rsid w:val="00055381"/>
    <w:rsid w:val="00156890"/>
    <w:rsid w:val="00291F43"/>
    <w:rsid w:val="003846E2"/>
    <w:rsid w:val="003D11EE"/>
    <w:rsid w:val="003D7B27"/>
    <w:rsid w:val="00502E7E"/>
    <w:rsid w:val="00593588"/>
    <w:rsid w:val="00626965"/>
    <w:rsid w:val="00651A33"/>
    <w:rsid w:val="006F43B4"/>
    <w:rsid w:val="00723053"/>
    <w:rsid w:val="008237B5"/>
    <w:rsid w:val="009D3A41"/>
    <w:rsid w:val="009F2092"/>
    <w:rsid w:val="009F209E"/>
    <w:rsid w:val="00A01903"/>
    <w:rsid w:val="00A26F37"/>
    <w:rsid w:val="00A62B04"/>
    <w:rsid w:val="00A66505"/>
    <w:rsid w:val="00A703FF"/>
    <w:rsid w:val="00AB4CB1"/>
    <w:rsid w:val="00AB5656"/>
    <w:rsid w:val="00AE30A8"/>
    <w:rsid w:val="00B4275A"/>
    <w:rsid w:val="00B91373"/>
    <w:rsid w:val="00C31E7B"/>
    <w:rsid w:val="00D304ED"/>
    <w:rsid w:val="00D75C64"/>
    <w:rsid w:val="00E01788"/>
    <w:rsid w:val="00E070AA"/>
    <w:rsid w:val="00E416AF"/>
    <w:rsid w:val="00E47A66"/>
    <w:rsid w:val="00E80445"/>
    <w:rsid w:val="00EC35A5"/>
    <w:rsid w:val="010E6025"/>
    <w:rsid w:val="012F32FC"/>
    <w:rsid w:val="01587D16"/>
    <w:rsid w:val="01A04759"/>
    <w:rsid w:val="01A836F9"/>
    <w:rsid w:val="023E1725"/>
    <w:rsid w:val="02421D02"/>
    <w:rsid w:val="02C81D39"/>
    <w:rsid w:val="02D944DD"/>
    <w:rsid w:val="032B1553"/>
    <w:rsid w:val="038C1DF1"/>
    <w:rsid w:val="039F6E44"/>
    <w:rsid w:val="048A0C4C"/>
    <w:rsid w:val="04AA17FE"/>
    <w:rsid w:val="05E32E7C"/>
    <w:rsid w:val="05F54D6D"/>
    <w:rsid w:val="06247E21"/>
    <w:rsid w:val="067362EB"/>
    <w:rsid w:val="068117B6"/>
    <w:rsid w:val="06C26A7A"/>
    <w:rsid w:val="075570AE"/>
    <w:rsid w:val="07E4525D"/>
    <w:rsid w:val="08D60EA5"/>
    <w:rsid w:val="09402008"/>
    <w:rsid w:val="09B315DE"/>
    <w:rsid w:val="09B547AB"/>
    <w:rsid w:val="09EE122C"/>
    <w:rsid w:val="0A1E2AE2"/>
    <w:rsid w:val="0AAA4E9F"/>
    <w:rsid w:val="0AE876EE"/>
    <w:rsid w:val="0B3C33E2"/>
    <w:rsid w:val="0B782843"/>
    <w:rsid w:val="0C7472F1"/>
    <w:rsid w:val="0CAD1C6D"/>
    <w:rsid w:val="0CE4226E"/>
    <w:rsid w:val="0D913B3D"/>
    <w:rsid w:val="0DAE7B73"/>
    <w:rsid w:val="0DD737A7"/>
    <w:rsid w:val="0DFD55A7"/>
    <w:rsid w:val="0E156E70"/>
    <w:rsid w:val="0E1D2DC4"/>
    <w:rsid w:val="0E2071F3"/>
    <w:rsid w:val="0E2C2AB5"/>
    <w:rsid w:val="0E4D7DC4"/>
    <w:rsid w:val="0E552A43"/>
    <w:rsid w:val="0E691595"/>
    <w:rsid w:val="0E761E24"/>
    <w:rsid w:val="0E970C12"/>
    <w:rsid w:val="0EC548DF"/>
    <w:rsid w:val="101713C8"/>
    <w:rsid w:val="102713DB"/>
    <w:rsid w:val="10687CF5"/>
    <w:rsid w:val="10796E30"/>
    <w:rsid w:val="10871E8E"/>
    <w:rsid w:val="10B86C1D"/>
    <w:rsid w:val="10D917CA"/>
    <w:rsid w:val="11031B8B"/>
    <w:rsid w:val="110903F6"/>
    <w:rsid w:val="11456B59"/>
    <w:rsid w:val="11871C18"/>
    <w:rsid w:val="11A71763"/>
    <w:rsid w:val="11AE5AAA"/>
    <w:rsid w:val="122430A9"/>
    <w:rsid w:val="12582EBE"/>
    <w:rsid w:val="12957422"/>
    <w:rsid w:val="12C92A41"/>
    <w:rsid w:val="12FD7D69"/>
    <w:rsid w:val="13055F11"/>
    <w:rsid w:val="13D04CD7"/>
    <w:rsid w:val="13DC2CB8"/>
    <w:rsid w:val="14221D35"/>
    <w:rsid w:val="142B1DB1"/>
    <w:rsid w:val="15173084"/>
    <w:rsid w:val="1582435D"/>
    <w:rsid w:val="15C97374"/>
    <w:rsid w:val="16451891"/>
    <w:rsid w:val="16586BE9"/>
    <w:rsid w:val="166F2BF1"/>
    <w:rsid w:val="171E6442"/>
    <w:rsid w:val="1742267B"/>
    <w:rsid w:val="17874DAF"/>
    <w:rsid w:val="1794192C"/>
    <w:rsid w:val="17A4202A"/>
    <w:rsid w:val="17EA1735"/>
    <w:rsid w:val="17EC7944"/>
    <w:rsid w:val="17FC1602"/>
    <w:rsid w:val="183B4674"/>
    <w:rsid w:val="18613BC1"/>
    <w:rsid w:val="186E24D6"/>
    <w:rsid w:val="187E669C"/>
    <w:rsid w:val="18C92B9F"/>
    <w:rsid w:val="18D217BE"/>
    <w:rsid w:val="18F7132C"/>
    <w:rsid w:val="19267A1B"/>
    <w:rsid w:val="198C55A6"/>
    <w:rsid w:val="19CD3D1D"/>
    <w:rsid w:val="1A1838ED"/>
    <w:rsid w:val="1A31098E"/>
    <w:rsid w:val="1A511BE3"/>
    <w:rsid w:val="1A9A558C"/>
    <w:rsid w:val="1AFA71C6"/>
    <w:rsid w:val="1B1E785A"/>
    <w:rsid w:val="1B261919"/>
    <w:rsid w:val="1B2A00D1"/>
    <w:rsid w:val="1B7347F4"/>
    <w:rsid w:val="1BB23779"/>
    <w:rsid w:val="1BE73F47"/>
    <w:rsid w:val="1C024584"/>
    <w:rsid w:val="1C6B2935"/>
    <w:rsid w:val="1C8F4B89"/>
    <w:rsid w:val="1C9A1178"/>
    <w:rsid w:val="1D064DF7"/>
    <w:rsid w:val="1D097D20"/>
    <w:rsid w:val="1D4D39AE"/>
    <w:rsid w:val="1D5C4003"/>
    <w:rsid w:val="1D6F464E"/>
    <w:rsid w:val="1D9E5A0C"/>
    <w:rsid w:val="1D9F5CDA"/>
    <w:rsid w:val="1E095370"/>
    <w:rsid w:val="1E904230"/>
    <w:rsid w:val="1EA56328"/>
    <w:rsid w:val="1FB504FE"/>
    <w:rsid w:val="1FE77AEB"/>
    <w:rsid w:val="1FFA383F"/>
    <w:rsid w:val="20081950"/>
    <w:rsid w:val="20531852"/>
    <w:rsid w:val="20671C22"/>
    <w:rsid w:val="207F541D"/>
    <w:rsid w:val="20851B07"/>
    <w:rsid w:val="20990B2A"/>
    <w:rsid w:val="20AB6596"/>
    <w:rsid w:val="20FB3E37"/>
    <w:rsid w:val="21264E5A"/>
    <w:rsid w:val="22151CAA"/>
    <w:rsid w:val="224E20DB"/>
    <w:rsid w:val="22845047"/>
    <w:rsid w:val="22937891"/>
    <w:rsid w:val="229D5685"/>
    <w:rsid w:val="22D05BCD"/>
    <w:rsid w:val="23532358"/>
    <w:rsid w:val="23703D7C"/>
    <w:rsid w:val="237161ED"/>
    <w:rsid w:val="23B47AA8"/>
    <w:rsid w:val="23E448D4"/>
    <w:rsid w:val="24610AB5"/>
    <w:rsid w:val="24A80447"/>
    <w:rsid w:val="24C5659C"/>
    <w:rsid w:val="250733D2"/>
    <w:rsid w:val="250E39D7"/>
    <w:rsid w:val="268412E8"/>
    <w:rsid w:val="26D81FCD"/>
    <w:rsid w:val="27452191"/>
    <w:rsid w:val="27BC0E8D"/>
    <w:rsid w:val="285B64DE"/>
    <w:rsid w:val="288E613F"/>
    <w:rsid w:val="288F3A27"/>
    <w:rsid w:val="28951D46"/>
    <w:rsid w:val="29721939"/>
    <w:rsid w:val="29E1316E"/>
    <w:rsid w:val="29F80FE7"/>
    <w:rsid w:val="2A492717"/>
    <w:rsid w:val="2A8D1AA1"/>
    <w:rsid w:val="2AC93E57"/>
    <w:rsid w:val="2AE47609"/>
    <w:rsid w:val="2B786E5A"/>
    <w:rsid w:val="2BE7051D"/>
    <w:rsid w:val="2C211517"/>
    <w:rsid w:val="2C3B3035"/>
    <w:rsid w:val="2C4B24F8"/>
    <w:rsid w:val="2C8452BD"/>
    <w:rsid w:val="2C882001"/>
    <w:rsid w:val="2CB00876"/>
    <w:rsid w:val="2CD35376"/>
    <w:rsid w:val="2D4168DD"/>
    <w:rsid w:val="2D930E3D"/>
    <w:rsid w:val="2E134FFF"/>
    <w:rsid w:val="2EAC2783"/>
    <w:rsid w:val="2EDA6C9B"/>
    <w:rsid w:val="2F220213"/>
    <w:rsid w:val="2F442A87"/>
    <w:rsid w:val="2F6C6D41"/>
    <w:rsid w:val="2FE853E7"/>
    <w:rsid w:val="2FF53957"/>
    <w:rsid w:val="2FF85F65"/>
    <w:rsid w:val="303845C1"/>
    <w:rsid w:val="306E2102"/>
    <w:rsid w:val="30731155"/>
    <w:rsid w:val="30F82569"/>
    <w:rsid w:val="31575D41"/>
    <w:rsid w:val="31885CBB"/>
    <w:rsid w:val="318C005A"/>
    <w:rsid w:val="31B372D4"/>
    <w:rsid w:val="31D86DCF"/>
    <w:rsid w:val="31EB11BF"/>
    <w:rsid w:val="32083D0C"/>
    <w:rsid w:val="32150B1E"/>
    <w:rsid w:val="33317857"/>
    <w:rsid w:val="334277A5"/>
    <w:rsid w:val="337563F9"/>
    <w:rsid w:val="337B0400"/>
    <w:rsid w:val="34013B56"/>
    <w:rsid w:val="342019D5"/>
    <w:rsid w:val="346C251E"/>
    <w:rsid w:val="34AB1BAC"/>
    <w:rsid w:val="356B3327"/>
    <w:rsid w:val="358D16EC"/>
    <w:rsid w:val="35A767A8"/>
    <w:rsid w:val="35CC1B7F"/>
    <w:rsid w:val="36237854"/>
    <w:rsid w:val="36487787"/>
    <w:rsid w:val="36B32239"/>
    <w:rsid w:val="36B610CD"/>
    <w:rsid w:val="36E1659F"/>
    <w:rsid w:val="373F3F75"/>
    <w:rsid w:val="37721A4B"/>
    <w:rsid w:val="37723635"/>
    <w:rsid w:val="380F19DC"/>
    <w:rsid w:val="383718CB"/>
    <w:rsid w:val="386A7C63"/>
    <w:rsid w:val="388A6997"/>
    <w:rsid w:val="38AF57A2"/>
    <w:rsid w:val="38CA6196"/>
    <w:rsid w:val="38DC1ADB"/>
    <w:rsid w:val="38F15DFA"/>
    <w:rsid w:val="38FC729A"/>
    <w:rsid w:val="39320FFB"/>
    <w:rsid w:val="39463E38"/>
    <w:rsid w:val="39E9024F"/>
    <w:rsid w:val="39FA4D33"/>
    <w:rsid w:val="3A3711CB"/>
    <w:rsid w:val="3A5C1D13"/>
    <w:rsid w:val="3A5C1E5A"/>
    <w:rsid w:val="3A9B67B2"/>
    <w:rsid w:val="3AD66858"/>
    <w:rsid w:val="3B221787"/>
    <w:rsid w:val="3B34068A"/>
    <w:rsid w:val="3B9610F4"/>
    <w:rsid w:val="3BB71C2D"/>
    <w:rsid w:val="3BD61A36"/>
    <w:rsid w:val="3BF67651"/>
    <w:rsid w:val="3C0318E0"/>
    <w:rsid w:val="3C45290A"/>
    <w:rsid w:val="3C7D1AA0"/>
    <w:rsid w:val="3CFF4A4C"/>
    <w:rsid w:val="3D152C6B"/>
    <w:rsid w:val="3DB611C5"/>
    <w:rsid w:val="3E741032"/>
    <w:rsid w:val="3E7B06C6"/>
    <w:rsid w:val="3E7F648D"/>
    <w:rsid w:val="3E844C32"/>
    <w:rsid w:val="3EBE4111"/>
    <w:rsid w:val="3EC318D5"/>
    <w:rsid w:val="3F142B57"/>
    <w:rsid w:val="3F1A7FAA"/>
    <w:rsid w:val="3F3E0AB4"/>
    <w:rsid w:val="3F984213"/>
    <w:rsid w:val="3FA952A0"/>
    <w:rsid w:val="3FC93E3E"/>
    <w:rsid w:val="3FCC330C"/>
    <w:rsid w:val="402B776A"/>
    <w:rsid w:val="406B30D4"/>
    <w:rsid w:val="40A30DAA"/>
    <w:rsid w:val="40F46A11"/>
    <w:rsid w:val="41572450"/>
    <w:rsid w:val="41777BB2"/>
    <w:rsid w:val="4186034B"/>
    <w:rsid w:val="418F6974"/>
    <w:rsid w:val="42712E83"/>
    <w:rsid w:val="427D1E4F"/>
    <w:rsid w:val="428E2D29"/>
    <w:rsid w:val="429C7B55"/>
    <w:rsid w:val="43342476"/>
    <w:rsid w:val="433E3A34"/>
    <w:rsid w:val="43621D5E"/>
    <w:rsid w:val="43D3409E"/>
    <w:rsid w:val="43D91C59"/>
    <w:rsid w:val="445617D3"/>
    <w:rsid w:val="447957F2"/>
    <w:rsid w:val="44A86E9A"/>
    <w:rsid w:val="45176E5E"/>
    <w:rsid w:val="45644397"/>
    <w:rsid w:val="45696BDB"/>
    <w:rsid w:val="465B0945"/>
    <w:rsid w:val="46B00671"/>
    <w:rsid w:val="46C925E7"/>
    <w:rsid w:val="46CF30CF"/>
    <w:rsid w:val="46F3537A"/>
    <w:rsid w:val="46FF2A91"/>
    <w:rsid w:val="47112BE0"/>
    <w:rsid w:val="47512873"/>
    <w:rsid w:val="47C2216E"/>
    <w:rsid w:val="480F1ECA"/>
    <w:rsid w:val="48114111"/>
    <w:rsid w:val="48526CD7"/>
    <w:rsid w:val="485F7432"/>
    <w:rsid w:val="486B4F45"/>
    <w:rsid w:val="48841BE5"/>
    <w:rsid w:val="488A3AE1"/>
    <w:rsid w:val="48AA6498"/>
    <w:rsid w:val="48AD19E8"/>
    <w:rsid w:val="48BA7DF9"/>
    <w:rsid w:val="48E51899"/>
    <w:rsid w:val="49956A4F"/>
    <w:rsid w:val="4A4812FE"/>
    <w:rsid w:val="4A730934"/>
    <w:rsid w:val="4B1977A0"/>
    <w:rsid w:val="4B4F18E5"/>
    <w:rsid w:val="4B8E2BB5"/>
    <w:rsid w:val="4BCA492F"/>
    <w:rsid w:val="4BDA7851"/>
    <w:rsid w:val="4BDD0C15"/>
    <w:rsid w:val="4C112A28"/>
    <w:rsid w:val="4C367EE2"/>
    <w:rsid w:val="4C3E0A00"/>
    <w:rsid w:val="4C8F2B04"/>
    <w:rsid w:val="4C9C397D"/>
    <w:rsid w:val="4CA65793"/>
    <w:rsid w:val="4D441C8B"/>
    <w:rsid w:val="4D446E15"/>
    <w:rsid w:val="4D8A139E"/>
    <w:rsid w:val="4DFB59B1"/>
    <w:rsid w:val="4E106724"/>
    <w:rsid w:val="4E5B22DE"/>
    <w:rsid w:val="4E660826"/>
    <w:rsid w:val="4E843E20"/>
    <w:rsid w:val="4EB0159A"/>
    <w:rsid w:val="4F021AA9"/>
    <w:rsid w:val="4F0A5043"/>
    <w:rsid w:val="4F42590E"/>
    <w:rsid w:val="4F94106E"/>
    <w:rsid w:val="4FB870F0"/>
    <w:rsid w:val="4FE00A82"/>
    <w:rsid w:val="5025101F"/>
    <w:rsid w:val="508C5CA4"/>
    <w:rsid w:val="51143E36"/>
    <w:rsid w:val="511901B3"/>
    <w:rsid w:val="52146C75"/>
    <w:rsid w:val="523577B2"/>
    <w:rsid w:val="52400BAA"/>
    <w:rsid w:val="52504441"/>
    <w:rsid w:val="52E1705F"/>
    <w:rsid w:val="52EC3EDC"/>
    <w:rsid w:val="52FE0D61"/>
    <w:rsid w:val="53151498"/>
    <w:rsid w:val="5316652D"/>
    <w:rsid w:val="53B134B9"/>
    <w:rsid w:val="53BD4A78"/>
    <w:rsid w:val="53D85335"/>
    <w:rsid w:val="53E125BE"/>
    <w:rsid w:val="541235D8"/>
    <w:rsid w:val="54CA1AED"/>
    <w:rsid w:val="55146BE0"/>
    <w:rsid w:val="55252947"/>
    <w:rsid w:val="5544476F"/>
    <w:rsid w:val="555E1E30"/>
    <w:rsid w:val="55A354FC"/>
    <w:rsid w:val="55BA0F7E"/>
    <w:rsid w:val="563411DE"/>
    <w:rsid w:val="573D0259"/>
    <w:rsid w:val="57874BC1"/>
    <w:rsid w:val="578A33CF"/>
    <w:rsid w:val="57FA6FE9"/>
    <w:rsid w:val="5807448D"/>
    <w:rsid w:val="581255D7"/>
    <w:rsid w:val="582012C9"/>
    <w:rsid w:val="582C6E15"/>
    <w:rsid w:val="587648D0"/>
    <w:rsid w:val="58A50EA8"/>
    <w:rsid w:val="58D008AE"/>
    <w:rsid w:val="58D278EC"/>
    <w:rsid w:val="58EA62B6"/>
    <w:rsid w:val="596F60AE"/>
    <w:rsid w:val="59B92E76"/>
    <w:rsid w:val="5A03106A"/>
    <w:rsid w:val="5A4F141A"/>
    <w:rsid w:val="5A9E0341"/>
    <w:rsid w:val="5B2F1EEB"/>
    <w:rsid w:val="5B302BC9"/>
    <w:rsid w:val="5B745643"/>
    <w:rsid w:val="5C263CAD"/>
    <w:rsid w:val="5C4B2E5B"/>
    <w:rsid w:val="5C8578BA"/>
    <w:rsid w:val="5D027E7E"/>
    <w:rsid w:val="5D2B48B4"/>
    <w:rsid w:val="5D844F05"/>
    <w:rsid w:val="5E70388B"/>
    <w:rsid w:val="5EC178AD"/>
    <w:rsid w:val="5ED83037"/>
    <w:rsid w:val="5F070F9B"/>
    <w:rsid w:val="5F220DF6"/>
    <w:rsid w:val="5F300F59"/>
    <w:rsid w:val="5F356E47"/>
    <w:rsid w:val="5FAE3AB2"/>
    <w:rsid w:val="5FCF5D35"/>
    <w:rsid w:val="60B91507"/>
    <w:rsid w:val="60D33ED8"/>
    <w:rsid w:val="616B0C9C"/>
    <w:rsid w:val="621356A8"/>
    <w:rsid w:val="62215171"/>
    <w:rsid w:val="624B097D"/>
    <w:rsid w:val="62844F25"/>
    <w:rsid w:val="62B17737"/>
    <w:rsid w:val="62C06BAA"/>
    <w:rsid w:val="63D6165B"/>
    <w:rsid w:val="64031DD3"/>
    <w:rsid w:val="64084C3D"/>
    <w:rsid w:val="645475E2"/>
    <w:rsid w:val="6455010A"/>
    <w:rsid w:val="64C957CC"/>
    <w:rsid w:val="64E91D1B"/>
    <w:rsid w:val="65A83CC5"/>
    <w:rsid w:val="65CC5CF4"/>
    <w:rsid w:val="65E92BE6"/>
    <w:rsid w:val="669354B5"/>
    <w:rsid w:val="66B037DC"/>
    <w:rsid w:val="671125BE"/>
    <w:rsid w:val="6732696D"/>
    <w:rsid w:val="67397F81"/>
    <w:rsid w:val="67451D63"/>
    <w:rsid w:val="678C30B6"/>
    <w:rsid w:val="67E26E3A"/>
    <w:rsid w:val="67E9034C"/>
    <w:rsid w:val="68332B3B"/>
    <w:rsid w:val="683F3018"/>
    <w:rsid w:val="684466E8"/>
    <w:rsid w:val="684568B6"/>
    <w:rsid w:val="685B3667"/>
    <w:rsid w:val="68BD0B09"/>
    <w:rsid w:val="68CD7763"/>
    <w:rsid w:val="68EF79ED"/>
    <w:rsid w:val="68F57855"/>
    <w:rsid w:val="69D07B34"/>
    <w:rsid w:val="69E14465"/>
    <w:rsid w:val="6A226A53"/>
    <w:rsid w:val="6A231718"/>
    <w:rsid w:val="6A310DD3"/>
    <w:rsid w:val="6A4F4329"/>
    <w:rsid w:val="6AAF66D6"/>
    <w:rsid w:val="6AC67BD3"/>
    <w:rsid w:val="6AF12B3E"/>
    <w:rsid w:val="6B264B6E"/>
    <w:rsid w:val="6BD924EC"/>
    <w:rsid w:val="6C826573"/>
    <w:rsid w:val="6C8919B8"/>
    <w:rsid w:val="6C9D1375"/>
    <w:rsid w:val="6CE76051"/>
    <w:rsid w:val="6DCF61FF"/>
    <w:rsid w:val="6E344E0D"/>
    <w:rsid w:val="6E3755C1"/>
    <w:rsid w:val="6E640DD3"/>
    <w:rsid w:val="6E64260C"/>
    <w:rsid w:val="6E914841"/>
    <w:rsid w:val="6EB1052D"/>
    <w:rsid w:val="6EC317CE"/>
    <w:rsid w:val="6F4E6508"/>
    <w:rsid w:val="6F4F2037"/>
    <w:rsid w:val="6FA608C2"/>
    <w:rsid w:val="701F7E35"/>
    <w:rsid w:val="704C3A50"/>
    <w:rsid w:val="70965651"/>
    <w:rsid w:val="70A14AF9"/>
    <w:rsid w:val="70A560EF"/>
    <w:rsid w:val="70AB4782"/>
    <w:rsid w:val="71576811"/>
    <w:rsid w:val="7165235D"/>
    <w:rsid w:val="716F460A"/>
    <w:rsid w:val="71BD016F"/>
    <w:rsid w:val="71CF0BED"/>
    <w:rsid w:val="71D66846"/>
    <w:rsid w:val="71E54E4B"/>
    <w:rsid w:val="723C3332"/>
    <w:rsid w:val="7252271D"/>
    <w:rsid w:val="726873F0"/>
    <w:rsid w:val="727B46BA"/>
    <w:rsid w:val="729D59B3"/>
    <w:rsid w:val="7313238C"/>
    <w:rsid w:val="731759FD"/>
    <w:rsid w:val="734164C7"/>
    <w:rsid w:val="735A62E0"/>
    <w:rsid w:val="74611F35"/>
    <w:rsid w:val="74645702"/>
    <w:rsid w:val="746E7275"/>
    <w:rsid w:val="74D80B53"/>
    <w:rsid w:val="751A7E63"/>
    <w:rsid w:val="75400B60"/>
    <w:rsid w:val="754A20F0"/>
    <w:rsid w:val="7558335C"/>
    <w:rsid w:val="755D72AA"/>
    <w:rsid w:val="756562E8"/>
    <w:rsid w:val="75B50E95"/>
    <w:rsid w:val="761D7780"/>
    <w:rsid w:val="76406DC8"/>
    <w:rsid w:val="766A702E"/>
    <w:rsid w:val="76AC6A44"/>
    <w:rsid w:val="76B040EE"/>
    <w:rsid w:val="76DB3663"/>
    <w:rsid w:val="778B6418"/>
    <w:rsid w:val="779A0D22"/>
    <w:rsid w:val="78520C1D"/>
    <w:rsid w:val="7872306D"/>
    <w:rsid w:val="78AB2481"/>
    <w:rsid w:val="78C863CB"/>
    <w:rsid w:val="792B6181"/>
    <w:rsid w:val="79F43DA8"/>
    <w:rsid w:val="7A3B2D26"/>
    <w:rsid w:val="7A404208"/>
    <w:rsid w:val="7A436452"/>
    <w:rsid w:val="7A6A3136"/>
    <w:rsid w:val="7A9439F5"/>
    <w:rsid w:val="7AFD1570"/>
    <w:rsid w:val="7B134572"/>
    <w:rsid w:val="7B4B064C"/>
    <w:rsid w:val="7B6E62FB"/>
    <w:rsid w:val="7C122B9D"/>
    <w:rsid w:val="7C187EC4"/>
    <w:rsid w:val="7C3507CF"/>
    <w:rsid w:val="7CDB5FF9"/>
    <w:rsid w:val="7CEC0651"/>
    <w:rsid w:val="7D4A7AE5"/>
    <w:rsid w:val="7D586692"/>
    <w:rsid w:val="7D810E5F"/>
    <w:rsid w:val="7D84768B"/>
    <w:rsid w:val="7DD86538"/>
    <w:rsid w:val="7E0D600E"/>
    <w:rsid w:val="7E2C0DEA"/>
    <w:rsid w:val="7E2D0B3F"/>
    <w:rsid w:val="7E341C7F"/>
    <w:rsid w:val="7E8B6D03"/>
    <w:rsid w:val="7EC7405B"/>
    <w:rsid w:val="7FC2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cs="Times New Roman"/>
      <w:sz w:val="32"/>
      <w:szCs w:val="21"/>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next w:val="1"/>
    <w:unhideWhenUsed/>
    <w:qFormat/>
    <w:uiPriority w:val="0"/>
    <w:pPr>
      <w:ind w:firstLine="420" w:firstLineChars="200"/>
    </w:pPr>
  </w:style>
  <w:style w:type="paragraph" w:styleId="6">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kern w:val="0"/>
      <w:sz w:val="24"/>
    </w:rPr>
  </w:style>
  <w:style w:type="character" w:styleId="12">
    <w:name w:val="Strong"/>
    <w:basedOn w:val="11"/>
    <w:qFormat/>
    <w:uiPriority w:val="22"/>
    <w:rPr>
      <w:b/>
    </w:rPr>
  </w:style>
  <w:style w:type="character" w:styleId="13">
    <w:name w:val="page number"/>
    <w:basedOn w:val="11"/>
    <w:qFormat/>
    <w:uiPriority w:val="0"/>
  </w:style>
  <w:style w:type="character" w:styleId="14">
    <w:name w:val="FollowedHyperlink"/>
    <w:basedOn w:val="11"/>
    <w:semiHidden/>
    <w:unhideWhenUsed/>
    <w:qFormat/>
    <w:uiPriority w:val="99"/>
    <w:rPr>
      <w:color w:val="337AB7"/>
      <w:u w:val="none"/>
    </w:rPr>
  </w:style>
  <w:style w:type="character" w:styleId="15">
    <w:name w:val="HTML Definition"/>
    <w:basedOn w:val="11"/>
    <w:semiHidden/>
    <w:unhideWhenUsed/>
    <w:qFormat/>
    <w:uiPriority w:val="99"/>
    <w:rPr>
      <w:i/>
    </w:rPr>
  </w:style>
  <w:style w:type="character" w:styleId="16">
    <w:name w:val="Hyperlink"/>
    <w:basedOn w:val="11"/>
    <w:semiHidden/>
    <w:unhideWhenUsed/>
    <w:qFormat/>
    <w:uiPriority w:val="99"/>
    <w:rPr>
      <w:color w:val="337AB7"/>
      <w:u w:val="none"/>
    </w:rPr>
  </w:style>
  <w:style w:type="character" w:styleId="17">
    <w:name w:val="HTML Code"/>
    <w:basedOn w:val="11"/>
    <w:semiHidden/>
    <w:unhideWhenUsed/>
    <w:qFormat/>
    <w:uiPriority w:val="99"/>
    <w:rPr>
      <w:rFonts w:ascii="Consolas" w:hAnsi="Consolas" w:eastAsia="Consolas" w:cs="Consolas"/>
      <w:color w:val="C7254E"/>
      <w:sz w:val="21"/>
      <w:szCs w:val="21"/>
      <w:shd w:val="clear" w:color="auto" w:fill="F9F2F4"/>
    </w:rPr>
  </w:style>
  <w:style w:type="character" w:styleId="18">
    <w:name w:val="HTML Keyboard"/>
    <w:basedOn w:val="11"/>
    <w:semiHidden/>
    <w:unhideWhenUsed/>
    <w:qFormat/>
    <w:uiPriority w:val="99"/>
    <w:rPr>
      <w:rFonts w:hint="default" w:ascii="Consolas" w:hAnsi="Consolas" w:eastAsia="Consolas" w:cs="Consolas"/>
      <w:color w:val="FFFFFF"/>
      <w:sz w:val="21"/>
      <w:szCs w:val="21"/>
      <w:shd w:val="clear" w:color="auto" w:fill="333333"/>
    </w:rPr>
  </w:style>
  <w:style w:type="character" w:styleId="19">
    <w:name w:val="HTML Sample"/>
    <w:basedOn w:val="11"/>
    <w:semiHidden/>
    <w:unhideWhenUsed/>
    <w:qFormat/>
    <w:uiPriority w:val="99"/>
    <w:rPr>
      <w:rFonts w:hint="default" w:ascii="Consolas" w:hAnsi="Consolas" w:eastAsia="Consolas" w:cs="Consolas"/>
      <w:sz w:val="21"/>
      <w:szCs w:val="21"/>
    </w:rPr>
  </w:style>
  <w:style w:type="paragraph" w:customStyle="1" w:styleId="20">
    <w:name w:val="批注文字 New New"/>
    <w:basedOn w:val="1"/>
    <w:qFormat/>
    <w:uiPriority w:val="0"/>
    <w:pPr>
      <w:jc w:val="left"/>
    </w:pPr>
    <w:rPr>
      <w:szCs w:val="20"/>
    </w:rPr>
  </w:style>
  <w:style w:type="character" w:customStyle="1" w:styleId="21">
    <w:name w:val="页眉 字符"/>
    <w:basedOn w:val="11"/>
    <w:link w:val="8"/>
    <w:semiHidden/>
    <w:qFormat/>
    <w:uiPriority w:val="99"/>
    <w:rPr>
      <w:rFonts w:ascii="Times New Roman" w:hAnsi="Times New Roman" w:eastAsia="宋体" w:cs="Times New Roman"/>
      <w:sz w:val="18"/>
      <w:szCs w:val="18"/>
    </w:rPr>
  </w:style>
  <w:style w:type="character" w:customStyle="1" w:styleId="22">
    <w:name w:val="页脚 字符"/>
    <w:basedOn w:val="11"/>
    <w:link w:val="7"/>
    <w:qFormat/>
    <w:uiPriority w:val="99"/>
    <w:rPr>
      <w:rFonts w:ascii="Times New Roman" w:hAnsi="Times New Roman" w:eastAsia="宋体" w:cs="Times New Roman"/>
      <w:sz w:val="18"/>
      <w:szCs w:val="18"/>
    </w:rPr>
  </w:style>
  <w:style w:type="paragraph" w:customStyle="1" w:styleId="2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actspan"/>
    <w:basedOn w:val="11"/>
    <w:qFormat/>
    <w:uiPriority w:val="0"/>
  </w:style>
  <w:style w:type="character" w:customStyle="1" w:styleId="26">
    <w:name w:val="layui-layer-tabnow"/>
    <w:basedOn w:val="11"/>
    <w:qFormat/>
    <w:uiPriority w:val="0"/>
    <w:rPr>
      <w:bdr w:val="single" w:color="CCCCCC" w:sz="6" w:space="0"/>
      <w:shd w:val="clear" w:color="auto" w:fill="FFFFFF"/>
    </w:rPr>
  </w:style>
  <w:style w:type="character" w:customStyle="1" w:styleId="27">
    <w:name w:val="first-child"/>
    <w:basedOn w:val="11"/>
    <w:qFormat/>
    <w:uiPriority w:val="0"/>
  </w:style>
  <w:style w:type="paragraph" w:customStyle="1" w:styleId="28">
    <w:name w:val="我的正文"/>
    <w:basedOn w:val="29"/>
    <w:qFormat/>
    <w:uiPriority w:val="0"/>
    <w:pPr>
      <w:spacing w:line="560" w:lineRule="exact"/>
      <w:ind w:firstLine="200" w:firstLineChars="200"/>
    </w:pPr>
    <w:rPr>
      <w:rFonts w:eastAsia="仿宋_GB2312"/>
      <w:sz w:val="32"/>
      <w:szCs w:val="32"/>
    </w:rPr>
  </w:style>
  <w:style w:type="paragraph" w:customStyle="1" w:styleId="29">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0">
    <w:name w:val="actspan2"/>
    <w:basedOn w:val="11"/>
    <w:qFormat/>
    <w:uiPriority w:val="0"/>
  </w:style>
  <w:style w:type="paragraph" w:customStyle="1" w:styleId="31">
    <w:name w:val="p0"/>
    <w:basedOn w:val="1"/>
    <w:qFormat/>
    <w:uiPriority w:val="0"/>
    <w:pPr>
      <w:widowControl/>
    </w:pPr>
    <w:rPr>
      <w:kern w:val="0"/>
      <w:szCs w:val="21"/>
    </w:rPr>
  </w:style>
  <w:style w:type="paragraph" w:customStyle="1" w:styleId="32">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33">
    <w:name w:val="Table caption|1"/>
    <w:basedOn w:val="1"/>
    <w:qFormat/>
    <w:uiPriority w:val="0"/>
    <w:rPr>
      <w:rFonts w:ascii="宋体" w:hAnsi="宋体" w:cs="宋体"/>
      <w:sz w:val="30"/>
      <w:szCs w:val="30"/>
      <w:lang w:val="zh-TW" w:eastAsia="zh-TW" w:bidi="zh-TW"/>
    </w:rPr>
  </w:style>
  <w:style w:type="paragraph" w:customStyle="1" w:styleId="34">
    <w:name w:val="Other|1"/>
    <w:basedOn w:val="1"/>
    <w:qFormat/>
    <w:uiPriority w:val="0"/>
    <w:pPr>
      <w:spacing w:line="439" w:lineRule="auto"/>
      <w:ind w:firstLine="400"/>
    </w:pPr>
    <w:rPr>
      <w:rFonts w:ascii="宋体" w:hAnsi="宋体" w:cs="宋体"/>
      <w:sz w:val="30"/>
      <w:szCs w:val="30"/>
      <w:lang w:val="zh-TW" w:eastAsia="zh-TW" w:bidi="zh-TW"/>
    </w:rPr>
  </w:style>
  <w:style w:type="paragraph" w:customStyle="1" w:styleId="35">
    <w:name w:val="Other|2"/>
    <w:basedOn w:val="1"/>
    <w:qFormat/>
    <w:uiPriority w:val="0"/>
    <w:pPr>
      <w:spacing w:before="160" w:line="230" w:lineRule="exact"/>
      <w:jc w:val="center"/>
    </w:pPr>
    <w:rPr>
      <w:rFonts w:ascii="宋体" w:hAnsi="宋体" w:cs="宋体"/>
      <w:sz w:val="22"/>
      <w:szCs w:val="22"/>
      <w:lang w:val="zh-TW" w:eastAsia="zh-TW" w:bidi="zh-TW"/>
    </w:rPr>
  </w:style>
  <w:style w:type="paragraph" w:customStyle="1" w:styleId="36">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3350</Words>
  <Characters>3691</Characters>
  <Lines>29</Lines>
  <Paragraphs>8</Paragraphs>
  <TotalTime>20</TotalTime>
  <ScaleCrop>false</ScaleCrop>
  <LinksUpToDate>false</LinksUpToDate>
  <CharactersWithSpaces>3757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欧阳海棠</cp:lastModifiedBy>
  <cp:lastPrinted>2022-11-16T09:30:00Z</cp:lastPrinted>
  <dcterms:modified xsi:type="dcterms:W3CDTF">2022-11-16T11:49:43Z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7A1C00D4DC894610A06B023E0737C3EE</vt:lpwstr>
  </property>
</Properties>
</file>